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before="480"/>
      </w:pPr>
      <w:r>
        <w:rPr>
          <w:rFonts w:ascii="Arial" w:cs="Arial" w:eastAsia="Arial" w:hAnsi="Arial"/>
          <w:b/>
          <w:bCs/>
          <w:color w:val="0B2A5B"/>
          <w:sz w:val="28"/>
          <w:szCs w:val="28"/>
        </w:rPr>
        <w:t xml:space="preserve">HOSPITAL GUILLERMO GRANT BENAVENTE</w:t>
      </w:r>
    </w:p>
    <w:p>
      <w:pPr>
        <w:spacing w:after="60"/>
      </w:pPr>
      <w:r>
        <w:rPr>
          <w:rFonts w:ascii="Arial" w:cs="Arial" w:eastAsia="Arial" w:hAnsi="Arial"/>
          <w:color w:val="1B4D91"/>
          <w:sz w:val="22"/>
          <w:szCs w:val="22"/>
        </w:rPr>
        <w:t xml:space="preserve">Farmacia Central • Concepción, Chile</w:t>
      </w:r>
    </w:p>
    <w:p>
      <w:pPr>
        <w:spacing w:after="120"/>
      </w:pPr>
      <w:r>
        <w:t xml:space="preserve"/>
      </w:r>
    </w:p>
    <w:p>
      <w:pPr>
        <w:pBdr>
          <w:left w:val="single" w:color="0B2A5B" w:sz="24" w:space="12"/>
        </w:pBdr>
        <w:spacing w:after="120" w:before="480"/>
        <w:jc w:val="left"/>
      </w:pPr>
      <w:r>
        <w:rPr>
          <w:rFonts w:ascii="Arial" w:cs="Arial" w:eastAsia="Arial" w:hAnsi="Arial"/>
          <w:b/>
          <w:bCs/>
          <w:color w:val="0B2A5B"/>
          <w:sz w:val="44"/>
          <w:szCs w:val="44"/>
        </w:rPr>
        <w:t xml:space="preserve">Sistema de Gestión Farmacéutica</w:t>
      </w:r>
    </w:p>
    <w:p>
      <w:pPr>
        <w:pBdr>
          <w:left w:val="single" w:color="0B2A5B" w:sz="24" w:space="12"/>
        </w:pBdr>
        <w:spacing w:after="80"/>
      </w:pPr>
      <w:r>
        <w:rPr>
          <w:rFonts w:ascii="Arial" w:cs="Arial" w:eastAsia="Arial" w:hAnsi="Arial"/>
          <w:color w:val="1B4D91"/>
          <w:sz w:val="32"/>
          <w:szCs w:val="32"/>
        </w:rPr>
        <w:t xml:space="preserve">Bodega Farmacia HGGB</w:t>
      </w:r>
    </w:p>
    <w:p>
      <w:pPr>
        <w:pBdr>
          <w:left w:val="single" w:color="0B2A5B" w:sz="24" w:space="12"/>
        </w:pBdr>
        <w:spacing w:after="60"/>
      </w:pPr>
      <w:r>
        <w:rPr>
          <w:rFonts w:ascii="Arial" w:cs="Arial" w:eastAsia="Arial" w:hAnsi="Arial"/>
          <w:i/>
          <w:iCs/>
          <w:color w:val="5C6678"/>
          <w:sz w:val="22"/>
          <w:szCs w:val="22"/>
        </w:rPr>
        <w:t xml:space="preserve">Manual de Usuario — Versión 191 • Junio 2026</w:t>
      </w:r>
    </w:p>
    <w:p>
      <w:pPr>
        <w:spacing w:after="120"/>
      </w:pPr>
      <w:r>
        <w:t xml:space="preserve"/>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rPr>
          <w:tblHeader/>
        </w:trPr>
        <w:tc>
          <w:tcPr>
            <w:tcW w:type="dxa" w:w="3120"/>
            <w:tcBorders>
              <w:top w:val="single" w:color="0B2A5B" w:sz="1"/>
              <w:left w:val="single" w:color="0B2A5B" w:sz="1"/>
              <w:bottom w:val="single" w:color="0B2A5B" w:sz="1"/>
              <w:right w:val="single" w:color="0B2A5B" w:sz="1"/>
            </w:tcBorders>
            <w:shd w:fill="0B2A5B" w:val="clear"/>
            <w:tcMar>
              <w:top w:type="dxa" w:w="80"/>
              <w:left w:type="dxa" w:w="120"/>
              <w:bottom w:type="dxa" w:w="80"/>
              <w:right w:type="dxa" w:w="120"/>
            </w:tcMar>
          </w:tcPr>
          <w:p>
            <w:r>
              <w:rPr>
                <w:rFonts w:ascii="Arial" w:cs="Arial" w:eastAsia="Arial" w:hAnsi="Arial"/>
                <w:b/>
                <w:bCs/>
                <w:color w:val="FFFFFF"/>
                <w:sz w:val="20"/>
                <w:szCs w:val="20"/>
              </w:rPr>
              <w:t xml:space="preserve">Responsable</w:t>
            </w:r>
          </w:p>
        </w:tc>
        <w:tc>
          <w:tcPr>
            <w:tcW w:type="dxa" w:w="3120"/>
            <w:tcBorders>
              <w:top w:val="single" w:color="0B2A5B" w:sz="1"/>
              <w:left w:val="single" w:color="0B2A5B" w:sz="1"/>
              <w:bottom w:val="single" w:color="0B2A5B" w:sz="1"/>
              <w:right w:val="single" w:color="0B2A5B" w:sz="1"/>
            </w:tcBorders>
            <w:shd w:fill="0B2A5B" w:val="clear"/>
            <w:tcMar>
              <w:top w:type="dxa" w:w="80"/>
              <w:left w:type="dxa" w:w="120"/>
              <w:bottom w:type="dxa" w:w="80"/>
              <w:right w:type="dxa" w:w="120"/>
            </w:tcMar>
          </w:tcPr>
          <w:p>
            <w:r>
              <w:rPr>
                <w:rFonts w:ascii="Arial" w:cs="Arial" w:eastAsia="Arial" w:hAnsi="Arial"/>
                <w:b/>
                <w:bCs/>
                <w:color w:val="FFFFFF"/>
                <w:sz w:val="20"/>
                <w:szCs w:val="20"/>
              </w:rPr>
              <w:t xml:space="preserve">Cargo</w:t>
            </w:r>
          </w:p>
        </w:tc>
        <w:tc>
          <w:tcPr>
            <w:tcW w:type="dxa" w:w="3120"/>
            <w:tcBorders>
              <w:top w:val="single" w:color="0B2A5B" w:sz="1"/>
              <w:left w:val="single" w:color="0B2A5B" w:sz="1"/>
              <w:bottom w:val="single" w:color="0B2A5B" w:sz="1"/>
              <w:right w:val="single" w:color="0B2A5B" w:sz="1"/>
            </w:tcBorders>
            <w:shd w:fill="0B2A5B" w:val="clear"/>
            <w:tcMar>
              <w:top w:type="dxa" w:w="80"/>
              <w:left w:type="dxa" w:w="120"/>
              <w:bottom w:type="dxa" w:w="80"/>
              <w:right w:type="dxa" w:w="120"/>
            </w:tcMar>
          </w:tcPr>
          <w:p>
            <w:r>
              <w:rPr>
                <w:rFonts w:ascii="Arial" w:cs="Arial" w:eastAsia="Arial" w:hAnsi="Arial"/>
                <w:b/>
                <w:bCs/>
                <w:color w:val="FFFFFF"/>
                <w:sz w:val="20"/>
                <w:szCs w:val="20"/>
              </w:rPr>
              <w:t xml:space="preserve">Contacto</w:t>
            </w:r>
          </w:p>
        </w:tc>
      </w:tr>
      <w:tr>
        <w:tc>
          <w:tcPr>
            <w:tcW w:type="dxa" w:w="312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Q.F. Fernando Medina</w:t>
            </w:r>
          </w:p>
        </w:tc>
        <w:tc>
          <w:tcPr>
            <w:tcW w:type="dxa" w:w="312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Químico Farmacéutico a cargo</w:t>
            </w:r>
          </w:p>
        </w:tc>
        <w:tc>
          <w:tcPr>
            <w:tcW w:type="dxa" w:w="312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Farmacia Central HGGB</w:t>
            </w:r>
          </w:p>
        </w:tc>
      </w:tr>
    </w:tbl>
    <w:p>
      <w:pPr>
        <w:spacing w:after="120"/>
      </w:pPr>
      <w:r>
        <w:t xml:space="preserve"/>
      </w:r>
    </w:p>
    <w:p>
      <w:pPr>
        <w:spacing w:after="60"/>
      </w:pPr>
      <w:r>
        <w:rPr>
          <w:rFonts w:ascii="Arial" w:cs="Arial" w:eastAsia="Arial" w:hAnsi="Arial"/>
          <w:b/>
          <w:bCs/>
          <w:color w:val="0B2A5B"/>
          <w:sz w:val="22"/>
          <w:szCs w:val="22"/>
        </w:rPr>
        <w:t xml:space="preserve">URL de acceso:</w:t>
      </w:r>
      <w:r>
        <w:rPr>
          <w:rFonts w:ascii="Arial" w:cs="Arial" w:eastAsia="Arial" w:hAnsi="Arial"/>
          <w:color w:val="1B4D91"/>
          <w:sz w:val="22"/>
          <w:szCs w:val="22"/>
        </w:rPr>
        <w:t xml:space="preserve">  hggb-farmacia.pages.dev</w:t>
      </w:r>
    </w:p>
    <w:p>
      <w:pPr>
        <w:spacing w:after="60"/>
      </w:pPr>
      <w:r>
        <w:rPr>
          <w:rFonts w:ascii="Arial" w:cs="Arial" w:eastAsia="Arial" w:hAnsi="Arial"/>
          <w:b/>
          <w:bCs/>
          <w:color w:val="0B2A5B"/>
          <w:sz w:val="22"/>
          <w:szCs w:val="22"/>
        </w:rPr>
        <w:t xml:space="preserve">Compatible con:</w:t>
      </w:r>
      <w:r>
        <w:rPr>
          <w:rFonts w:ascii="Arial" w:cs="Arial" w:eastAsia="Arial" w:hAnsi="Arial"/>
          <w:sz w:val="22"/>
          <w:szCs w:val="22"/>
        </w:rPr>
        <w:t xml:space="preserve">  Chrome / Edge — PC Windows 7+ • Android • iOS</w:t>
      </w:r>
    </w:p>
    <w:p>
      <w:pPr>
        <w:spacing w:after="120"/>
      </w:pPr>
      <w:r>
        <w:t xml:space="preserve"/>
      </w:r>
    </w:p>
    <w:p>
      <w:r>
        <w:br w:type="page"/>
      </w:r>
    </w:p>
    <w:p>
      <w:pPr>
        <w:pStyle w:val="Heading1"/>
        <w:pBdr>
          <w:bottom w:val="single" w:color="1B4D91" w:sz="6" w:space="4"/>
        </w:pBdr>
        <w:spacing w:after="120" w:before="320"/>
      </w:pPr>
      <w:r>
        <w:rPr>
          <w:rFonts w:ascii="Arial" w:cs="Arial" w:eastAsia="Arial" w:hAnsi="Arial"/>
          <w:b/>
          <w:bCs/>
          <w:color w:val="0B2A5B"/>
          <w:sz w:val="32"/>
          <w:szCs w:val="32"/>
        </w:rPr>
        <w:t xml:space="preserve">1. Descripción General</w:t>
      </w:r>
    </w:p>
    <w:p>
      <w:pPr>
        <w:spacing w:after="100"/>
      </w:pPr>
      <w:r>
        <w:rPr>
          <w:rFonts w:ascii="Arial" w:cs="Arial" w:eastAsia="Arial" w:hAnsi="Arial"/>
          <w:b w:val="false"/>
          <w:bCs w:val="false"/>
          <w:i w:val="false"/>
          <w:iCs w:val="false"/>
          <w:color w:val="1A2233"/>
          <w:sz w:val="22"/>
          <w:szCs w:val="22"/>
        </w:rPr>
        <w:t xml:space="preserve">El Sistema Bodega Farmacia HGGB es una aplicación web institucional desarrollada para la Farmacia Central del Hospital Guillermo Grant Benavente. Permite gestionar de manera integrada la programación mensual de medicamentos, el pedido a bodega, la reposición de sala, el control de vencimientos, los traspasos entre farmacias y la clasificación del arsenal terapéutico.</w:t>
      </w:r>
    </w:p>
    <w:p>
      <w:pPr>
        <w:spacing w:after="120"/>
      </w:pPr>
      <w:r>
        <w:t xml:space="preserve"/>
      </w:r>
    </w:p>
    <w:p>
      <w:pPr>
        <w:pStyle w:val="Heading2"/>
        <w:spacing w:after="80" w:before="240"/>
      </w:pPr>
      <w:r>
        <w:rPr>
          <w:rFonts w:ascii="Arial" w:cs="Arial" w:eastAsia="Arial" w:hAnsi="Arial"/>
          <w:b/>
          <w:bCs/>
          <w:color w:val="1B4D91"/>
          <w:sz w:val="26"/>
          <w:szCs w:val="26"/>
        </w:rPr>
        <w:t xml:space="preserve">Características principales</w:t>
      </w:r>
    </w:p>
    <w:p>
      <w:pPr>
        <w:pStyle w:val="ListParagraph"/>
        <w:numPr>
          <w:ilvl w:val="0"/>
          <w:numId w:val="2"/>
        </w:numPr>
        <w:spacing w:after="60"/>
      </w:pPr>
      <w:r>
        <w:rPr>
          <w:rFonts w:ascii="Arial" w:cs="Arial" w:eastAsia="Arial" w:hAnsi="Arial"/>
          <w:sz w:val="22"/>
          <w:szCs w:val="22"/>
        </w:rPr>
        <w:t xml:space="preserve">Acceso web desde cualquier dispositivo conectado a la red del hospital</w:t>
      </w:r>
    </w:p>
    <w:p>
      <w:pPr>
        <w:pStyle w:val="ListParagraph"/>
        <w:numPr>
          <w:ilvl w:val="0"/>
          <w:numId w:val="2"/>
        </w:numPr>
        <w:spacing w:after="60"/>
      </w:pPr>
      <w:r>
        <w:rPr>
          <w:rFonts w:ascii="Arial" w:cs="Arial" w:eastAsia="Arial" w:hAnsi="Arial"/>
          <w:sz w:val="22"/>
          <w:szCs w:val="22"/>
        </w:rPr>
        <w:t xml:space="preserve">Sin instalación — funciona directamente desde el navegador</w:t>
      </w:r>
    </w:p>
    <w:p>
      <w:pPr>
        <w:pStyle w:val="ListParagraph"/>
        <w:numPr>
          <w:ilvl w:val="0"/>
          <w:numId w:val="2"/>
        </w:numPr>
        <w:spacing w:after="60"/>
      </w:pPr>
      <w:r>
        <w:rPr>
          <w:rFonts w:ascii="Arial" w:cs="Arial" w:eastAsia="Arial" w:hAnsi="Arial"/>
          <w:sz w:val="22"/>
          <w:szCs w:val="22"/>
        </w:rPr>
        <w:t xml:space="preserve">Funciona offline: si cae el WiFi, muestra los últimos datos y guarda las solicitudes para reenvío automático</w:t>
      </w:r>
    </w:p>
    <w:p>
      <w:pPr>
        <w:pStyle w:val="ListParagraph"/>
        <w:numPr>
          <w:ilvl w:val="0"/>
          <w:numId w:val="2"/>
        </w:numPr>
        <w:spacing w:after="60"/>
      </w:pPr>
      <w:r>
        <w:rPr>
          <w:rFonts w:ascii="Arial" w:cs="Arial" w:eastAsia="Arial" w:hAnsi="Arial"/>
          <w:sz w:val="22"/>
          <w:szCs w:val="22"/>
        </w:rPr>
        <w:t xml:space="preserve">Compatible con Windows 7 y navegadores antiguos del hospital</w:t>
      </w:r>
    </w:p>
    <w:p>
      <w:pPr>
        <w:pStyle w:val="ListParagraph"/>
        <w:numPr>
          <w:ilvl w:val="0"/>
          <w:numId w:val="2"/>
        </w:numPr>
        <w:spacing w:after="60"/>
      </w:pPr>
      <w:r>
        <w:rPr>
          <w:rFonts w:ascii="Arial" w:cs="Arial" w:eastAsia="Arial" w:hAnsi="Arial"/>
          <w:sz w:val="22"/>
          <w:szCs w:val="22"/>
        </w:rPr>
        <w:t xml:space="preserve">Backend en la nube (Supabase) con sincronización en tiempo real entre equipos</w:t>
      </w:r>
    </w:p>
    <w:p>
      <w:pPr>
        <w:pStyle w:val="ListParagraph"/>
        <w:numPr>
          <w:ilvl w:val="0"/>
          <w:numId w:val="2"/>
        </w:numPr>
        <w:spacing w:after="60"/>
      </w:pPr>
      <w:r>
        <w:rPr>
          <w:rFonts w:ascii="Arial" w:cs="Arial" w:eastAsia="Arial" w:hAnsi="Arial"/>
          <w:sz w:val="22"/>
          <w:szCs w:val="22"/>
        </w:rPr>
        <w:t xml:space="preserve">Instalable como app en la pantalla de inicio del celular (PWA)</w:t>
      </w:r>
    </w:p>
    <w:p>
      <w:pPr>
        <w:spacing w:after="120"/>
      </w:pPr>
      <w:r>
        <w:t xml:space="preserve"/>
      </w:r>
    </w:p>
    <w:p>
      <w:pPr>
        <w:pStyle w:val="Heading2"/>
        <w:spacing w:after="80" w:before="240"/>
      </w:pPr>
      <w:r>
        <w:rPr>
          <w:rFonts w:ascii="Arial" w:cs="Arial" w:eastAsia="Arial" w:hAnsi="Arial"/>
          <w:b/>
          <w:bCs/>
          <w:color w:val="1B4D91"/>
          <w:sz w:val="26"/>
          <w:szCs w:val="26"/>
        </w:rPr>
        <w:t xml:space="preserve">Perfiles de usuario</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3500"/>
        <w:gridCol w:w="3860"/>
      </w:tblGrid>
      <w:tr>
        <w:trPr>
          <w:tblHeader/>
        </w:trPr>
        <w:tc>
          <w:tcPr>
            <w:tcW w:type="dxa" w:w="2000"/>
            <w:tcBorders>
              <w:top w:val="single" w:color="0B2A5B" w:sz="1"/>
              <w:left w:val="single" w:color="0B2A5B" w:sz="1"/>
              <w:bottom w:val="single" w:color="0B2A5B" w:sz="1"/>
              <w:right w:val="single" w:color="0B2A5B" w:sz="1"/>
            </w:tcBorders>
            <w:shd w:fill="0B2A5B" w:val="clear"/>
            <w:tcMar>
              <w:top w:type="dxa" w:w="80"/>
              <w:left w:type="dxa" w:w="120"/>
              <w:bottom w:type="dxa" w:w="80"/>
              <w:right w:type="dxa" w:w="120"/>
            </w:tcMar>
          </w:tcPr>
          <w:p>
            <w:r>
              <w:rPr>
                <w:rFonts w:ascii="Arial" w:cs="Arial" w:eastAsia="Arial" w:hAnsi="Arial"/>
                <w:b/>
                <w:bCs/>
                <w:color w:val="FFFFFF"/>
                <w:sz w:val="20"/>
                <w:szCs w:val="20"/>
              </w:rPr>
              <w:t xml:space="preserve">Perfil</w:t>
            </w:r>
          </w:p>
        </w:tc>
        <w:tc>
          <w:tcPr>
            <w:tcW w:type="dxa" w:w="3500"/>
            <w:tcBorders>
              <w:top w:val="single" w:color="0B2A5B" w:sz="1"/>
              <w:left w:val="single" w:color="0B2A5B" w:sz="1"/>
              <w:bottom w:val="single" w:color="0B2A5B" w:sz="1"/>
              <w:right w:val="single" w:color="0B2A5B" w:sz="1"/>
            </w:tcBorders>
            <w:shd w:fill="0B2A5B" w:val="clear"/>
            <w:tcMar>
              <w:top w:type="dxa" w:w="80"/>
              <w:left w:type="dxa" w:w="120"/>
              <w:bottom w:type="dxa" w:w="80"/>
              <w:right w:type="dxa" w:w="120"/>
            </w:tcMar>
          </w:tcPr>
          <w:p>
            <w:r>
              <w:rPr>
                <w:rFonts w:ascii="Arial" w:cs="Arial" w:eastAsia="Arial" w:hAnsi="Arial"/>
                <w:b/>
                <w:bCs/>
                <w:color w:val="FFFFFF"/>
                <w:sz w:val="20"/>
                <w:szCs w:val="20"/>
              </w:rPr>
              <w:t xml:space="preserve">Acceso</w:t>
            </w:r>
          </w:p>
        </w:tc>
        <w:tc>
          <w:tcPr>
            <w:tcW w:type="dxa" w:w="3860"/>
            <w:tcBorders>
              <w:top w:val="single" w:color="0B2A5B" w:sz="1"/>
              <w:left w:val="single" w:color="0B2A5B" w:sz="1"/>
              <w:bottom w:val="single" w:color="0B2A5B" w:sz="1"/>
              <w:right w:val="single" w:color="0B2A5B" w:sz="1"/>
            </w:tcBorders>
            <w:shd w:fill="0B2A5B" w:val="clear"/>
            <w:tcMar>
              <w:top w:type="dxa" w:w="80"/>
              <w:left w:type="dxa" w:w="120"/>
              <w:bottom w:type="dxa" w:w="80"/>
              <w:right w:type="dxa" w:w="120"/>
            </w:tcMar>
          </w:tcPr>
          <w:p>
            <w:r>
              <w:rPr>
                <w:rFonts w:ascii="Arial" w:cs="Arial" w:eastAsia="Arial" w:hAnsi="Arial"/>
                <w:b/>
                <w:bCs/>
                <w:color w:val="FFFFFF"/>
                <w:sz w:val="20"/>
                <w:szCs w:val="20"/>
              </w:rPr>
              <w:t xml:space="preserve">Módulos</w:t>
            </w:r>
          </w:p>
        </w:tc>
      </w:tr>
      <w:tr>
        <w:tc>
          <w:tcPr>
            <w:tcW w:type="dxa" w:w="20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QF / Jefatura</w:t>
            </w:r>
          </w:p>
        </w:tc>
        <w:tc>
          <w:tcPr>
            <w:tcW w:type="dxa" w:w="35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App principal (hggb-farmacia.pages.dev)</w:t>
            </w:r>
          </w:p>
        </w:tc>
        <w:tc>
          <w:tcPr>
            <w:tcW w:type="dxa" w:w="38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Todos los módulos</w:t>
            </w:r>
          </w:p>
        </w:tc>
      </w:tr>
      <w:tr>
        <w:tc>
          <w:tcPr>
            <w:tcW w:type="dxa" w:w="20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TENS Sala</w:t>
            </w:r>
          </w:p>
        </w:tc>
        <w:tc>
          <w:tcPr>
            <w:tcW w:type="dxa" w:w="35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hggb-farmacia.pages.dev/sala.html</w:t>
            </w:r>
          </w:p>
        </w:tc>
        <w:tc>
          <w:tcPr>
            <w:tcW w:type="dxa" w:w="386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Reposición Normal y Dosis Unitaria</w:t>
            </w:r>
          </w:p>
        </w:tc>
      </w:tr>
      <w:tr>
        <w:tc>
          <w:tcPr>
            <w:tcW w:type="dxa" w:w="20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TENS Bodega</w:t>
            </w:r>
          </w:p>
        </w:tc>
        <w:tc>
          <w:tcPr>
            <w:tcW w:type="dxa" w:w="35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hggb-farmacia.pages.dev/bodega.html</w:t>
            </w:r>
          </w:p>
        </w:tc>
        <w:tc>
          <w:tcPr>
            <w:tcW w:type="dxa" w:w="38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Despacho de solicitudes</w:t>
            </w:r>
          </w:p>
        </w:tc>
      </w:tr>
      <w:tr>
        <w:tc>
          <w:tcPr>
            <w:tcW w:type="dxa" w:w="20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QF Traspasos</w:t>
            </w:r>
          </w:p>
        </w:tc>
        <w:tc>
          <w:tcPr>
            <w:tcW w:type="dxa" w:w="35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hggb-farmacia.pages.dev/traspasos.html</w:t>
            </w:r>
          </w:p>
        </w:tc>
        <w:tc>
          <w:tcPr>
            <w:tcW w:type="dxa" w:w="386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Guías de traspaso inter-farmacia</w:t>
            </w:r>
          </w:p>
        </w:tc>
      </w:tr>
    </w:tbl>
    <w:p>
      <w:pPr>
        <w:spacing w:after="120"/>
      </w:pPr>
      <w:r>
        <w:t xml:space="preserve"/>
      </w:r>
    </w:p>
    <w:p>
      <w:r>
        <w:br w:type="page"/>
      </w:r>
    </w:p>
    <w:p>
      <w:pPr>
        <w:pStyle w:val="Heading1"/>
        <w:pBdr>
          <w:bottom w:val="single" w:color="1B4D91" w:sz="6" w:space="4"/>
        </w:pBdr>
        <w:spacing w:after="120" w:before="320"/>
      </w:pPr>
      <w:r>
        <w:rPr>
          <w:rFonts w:ascii="Arial" w:cs="Arial" w:eastAsia="Arial" w:hAnsi="Arial"/>
          <w:b/>
          <w:bCs/>
          <w:color w:val="0B2A5B"/>
          <w:sz w:val="32"/>
          <w:szCs w:val="32"/>
        </w:rPr>
        <w:t xml:space="preserve">2. Módulos del Sistema</w:t>
      </w:r>
    </w:p>
    <w:p>
      <w:pPr>
        <w:pStyle w:val="Heading2"/>
        <w:spacing w:after="80" w:before="240"/>
      </w:pPr>
      <w:r>
        <w:rPr>
          <w:rFonts w:ascii="Arial" w:cs="Arial" w:eastAsia="Arial" w:hAnsi="Arial"/>
          <w:b/>
          <w:bCs/>
          <w:color w:val="1B4D91"/>
          <w:sz w:val="26"/>
          <w:szCs w:val="26"/>
        </w:rPr>
        <w:t xml:space="preserve">2.1 Programación Mensual</w:t>
      </w:r>
    </w:p>
    <w:p>
      <w:pPr>
        <w:spacing w:after="100"/>
      </w:pPr>
      <w:r>
        <w:rPr>
          <w:rFonts w:ascii="Arial" w:cs="Arial" w:eastAsia="Arial" w:hAnsi="Arial"/>
          <w:b w:val="false"/>
          <w:bCs w:val="false"/>
          <w:i w:val="false"/>
          <w:iCs w:val="false"/>
          <w:color w:val="1A2233"/>
          <w:sz w:val="22"/>
          <w:szCs w:val="22"/>
        </w:rPr>
        <w:t xml:space="preserve">Permite rectificar el PAC (Plan Anual de Consumo) enviado por CGCOM, ajustando las cantidades de medicamentos según el consumo real y las necesidades del mes siguiente.</w:t>
      </w:r>
    </w:p>
    <w:p>
      <w:pPr>
        <w:spacing w:after="120"/>
      </w:pPr>
      <w:r>
        <w:t xml:space="preserve"/>
      </w:r>
    </w:p>
    <w:p>
      <w:pPr>
        <w:spacing w:after="60" w:before="160"/>
      </w:pPr>
      <w:r>
        <w:rPr>
          <w:rFonts w:ascii="Arial" w:cs="Arial" w:eastAsia="Arial" w:hAnsi="Arial"/>
          <w:b/>
          <w:bCs/>
          <w:color w:val="1B4D91"/>
          <w:sz w:val="22"/>
          <w:szCs w:val="22"/>
        </w:rPr>
        <w:t xml:space="preserve">Flujo de trabajo mensual</w:t>
      </w:r>
    </w:p>
    <w:p>
      <w:pPr>
        <w:pStyle w:val="ListParagraph"/>
        <w:numPr>
          <w:ilvl w:val="0"/>
          <w:numId w:val="3"/>
        </w:numPr>
        <w:spacing w:after="60"/>
      </w:pPr>
      <w:r>
        <w:rPr>
          <w:rFonts w:ascii="Arial" w:cs="Arial" w:eastAsia="Arial" w:hAnsi="Arial"/>
          <w:sz w:val="22"/>
          <w:szCs w:val="22"/>
        </w:rPr>
        <w:t xml:space="preserve">Cargar el PAC del mes en formato CSV (semicolon-separated)</w:t>
      </w:r>
    </w:p>
    <w:p>
      <w:pPr>
        <w:pStyle w:val="ListParagraph"/>
        <w:numPr>
          <w:ilvl w:val="0"/>
          <w:numId w:val="3"/>
        </w:numPr>
        <w:spacing w:after="60"/>
      </w:pPr>
      <w:r>
        <w:rPr>
          <w:rFonts w:ascii="Arial" w:cs="Arial" w:eastAsia="Arial" w:hAnsi="Arial"/>
          <w:sz w:val="22"/>
          <w:szCs w:val="22"/>
        </w:rPr>
        <w:t xml:space="preserve">Cargar el historial de consumo SIRYC (Excel)</w:t>
      </w:r>
    </w:p>
    <w:p>
      <w:pPr>
        <w:pStyle w:val="ListParagraph"/>
        <w:numPr>
          <w:ilvl w:val="0"/>
          <w:numId w:val="3"/>
        </w:numPr>
        <w:spacing w:after="60"/>
      </w:pPr>
      <w:r>
        <w:rPr>
          <w:rFonts w:ascii="Arial" w:cs="Arial" w:eastAsia="Arial" w:hAnsi="Arial"/>
          <w:sz w:val="22"/>
          <w:szCs w:val="22"/>
        </w:rPr>
        <w:t xml:space="preserve">Opcionalmente: cargar Excel de qu iebres semanales para corregir el CMD</w:t>
      </w:r>
    </w:p>
    <w:p>
      <w:pPr>
        <w:pStyle w:val="ListParagraph"/>
        <w:numPr>
          <w:ilvl w:val="0"/>
          <w:numId w:val="3"/>
        </w:numPr>
        <w:spacing w:after="60"/>
      </w:pPr>
      <w:r>
        <w:rPr>
          <w:rFonts w:ascii="Arial" w:cs="Arial" w:eastAsia="Arial" w:hAnsi="Arial"/>
          <w:sz w:val="22"/>
          <w:szCs w:val="22"/>
        </w:rPr>
        <w:t xml:space="preserve">La tabla de programación muestra para cada fármaco: CMD, stock actual, pendiente, stock proyectado y sugerido de rectificación</w:t>
      </w:r>
    </w:p>
    <w:p>
      <w:pPr>
        <w:pStyle w:val="ListParagraph"/>
        <w:numPr>
          <w:ilvl w:val="0"/>
          <w:numId w:val="3"/>
        </w:numPr>
        <w:spacing w:after="60"/>
      </w:pPr>
      <w:r>
        <w:rPr>
          <w:rFonts w:ascii="Arial" w:cs="Arial" w:eastAsia="Arial" w:hAnsi="Arial"/>
          <w:sz w:val="22"/>
          <w:szCs w:val="22"/>
        </w:rPr>
        <w:t xml:space="preserve">El QF revisa y ajusta las cantidades en la columna "A rectificar"</w:t>
      </w:r>
    </w:p>
    <w:p>
      <w:pPr>
        <w:pStyle w:val="ListParagraph"/>
        <w:numPr>
          <w:ilvl w:val="0"/>
          <w:numId w:val="3"/>
        </w:numPr>
        <w:spacing w:after="60"/>
      </w:pPr>
      <w:r>
        <w:rPr>
          <w:rFonts w:ascii="Arial" w:cs="Arial" w:eastAsia="Arial" w:hAnsi="Arial"/>
          <w:sz w:val="22"/>
          <w:szCs w:val="22"/>
        </w:rPr>
        <w:t xml:space="preserve">Al completar, firmar y cerrar el período con el nombre del QF</w:t>
      </w:r>
    </w:p>
    <w:p>
      <w:pPr>
        <w:spacing w:after="120"/>
      </w:pPr>
      <w:r>
        <w:t xml:space="preserve"/>
      </w:r>
    </w:p>
    <w:p>
      <w:pPr>
        <w:spacing w:after="100"/>
      </w:pPr>
      <w:r>
        <w:rPr>
          <w:rFonts w:ascii="Arial" w:cs="Arial" w:eastAsia="Arial" w:hAnsi="Arial"/>
          <w:b w:val="false"/>
          <w:bCs w:val="false"/>
          <w:i/>
          <w:iCs/>
          <w:color w:val="1A2233"/>
          <w:sz w:val="22"/>
          <w:szCs w:val="22"/>
        </w:rPr>
        <w:t xml:space="preserve">Al cerrar el período, el sistema guarda una "foto" congelada con todos los datos exactos del momento del cierre. El período cerrado no puede ser modificado sin un PIN de autorización (1234) y queda registrado en la auditoría.</w:t>
      </w:r>
    </w:p>
    <w:p>
      <w:pPr>
        <w:spacing w:after="120"/>
      </w:pPr>
      <w:r>
        <w:t xml:space="preserve"/>
      </w:r>
    </w:p>
    <w:p>
      <w:pPr>
        <w:spacing w:after="60" w:before="160"/>
      </w:pPr>
      <w:r>
        <w:rPr>
          <w:rFonts w:ascii="Arial" w:cs="Arial" w:eastAsia="Arial" w:hAnsi="Arial"/>
          <w:b/>
          <w:bCs/>
          <w:color w:val="1B4D91"/>
          <w:sz w:val="22"/>
          <w:szCs w:val="22"/>
        </w:rPr>
        <w:t xml:space="preserve">Clasificaciones automáticas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3500"/>
        <w:gridCol w:w="3860"/>
      </w:tblGrid>
      <w:tr>
        <w:trPr>
          <w:tblHeader/>
        </w:trPr>
        <w:tc>
          <w:tcPr>
            <w:tcW w:type="dxa" w:w="2000"/>
            <w:tcBorders>
              <w:top w:val="single" w:color="0B2A5B" w:sz="1"/>
              <w:left w:val="single" w:color="0B2A5B" w:sz="1"/>
              <w:bottom w:val="single" w:color="0B2A5B" w:sz="1"/>
              <w:right w:val="single" w:color="0B2A5B" w:sz="1"/>
            </w:tcBorders>
            <w:shd w:fill="0B2A5B" w:val="clear"/>
            <w:tcMar>
              <w:top w:type="dxa" w:w="80"/>
              <w:left w:type="dxa" w:w="120"/>
              <w:bottom w:type="dxa" w:w="80"/>
              <w:right w:type="dxa" w:w="120"/>
            </w:tcMar>
          </w:tcPr>
          <w:p>
            <w:r>
              <w:rPr>
                <w:rFonts w:ascii="Arial" w:cs="Arial" w:eastAsia="Arial" w:hAnsi="Arial"/>
                <w:b/>
                <w:bCs/>
                <w:color w:val="FFFFFF"/>
                <w:sz w:val="20"/>
                <w:szCs w:val="20"/>
              </w:rPr>
              <w:t xml:space="preserve">Clasificación</w:t>
            </w:r>
          </w:p>
        </w:tc>
        <w:tc>
          <w:tcPr>
            <w:tcW w:type="dxa" w:w="3500"/>
            <w:tcBorders>
              <w:top w:val="single" w:color="0B2A5B" w:sz="1"/>
              <w:left w:val="single" w:color="0B2A5B" w:sz="1"/>
              <w:bottom w:val="single" w:color="0B2A5B" w:sz="1"/>
              <w:right w:val="single" w:color="0B2A5B" w:sz="1"/>
            </w:tcBorders>
            <w:shd w:fill="0B2A5B" w:val="clear"/>
            <w:tcMar>
              <w:top w:type="dxa" w:w="80"/>
              <w:left w:type="dxa" w:w="120"/>
              <w:bottom w:type="dxa" w:w="80"/>
              <w:right w:type="dxa" w:w="120"/>
            </w:tcMar>
          </w:tcPr>
          <w:p>
            <w:r>
              <w:rPr>
                <w:rFonts w:ascii="Arial" w:cs="Arial" w:eastAsia="Arial" w:hAnsi="Arial"/>
                <w:b/>
                <w:bCs/>
                <w:color w:val="FFFFFF"/>
                <w:sz w:val="20"/>
                <w:szCs w:val="20"/>
              </w:rPr>
              <w:t xml:space="preserve">Criterio</w:t>
            </w:r>
          </w:p>
        </w:tc>
        <w:tc>
          <w:tcPr>
            <w:tcW w:type="dxa" w:w="3860"/>
            <w:tcBorders>
              <w:top w:val="single" w:color="0B2A5B" w:sz="1"/>
              <w:left w:val="single" w:color="0B2A5B" w:sz="1"/>
              <w:bottom w:val="single" w:color="0B2A5B" w:sz="1"/>
              <w:right w:val="single" w:color="0B2A5B" w:sz="1"/>
            </w:tcBorders>
            <w:shd w:fill="0B2A5B" w:val="clear"/>
            <w:tcMar>
              <w:top w:type="dxa" w:w="80"/>
              <w:left w:type="dxa" w:w="120"/>
              <w:bottom w:type="dxa" w:w="80"/>
              <w:right w:type="dxa" w:w="120"/>
            </w:tcMar>
          </w:tcPr>
          <w:p>
            <w:r>
              <w:rPr>
                <w:rFonts w:ascii="Arial" w:cs="Arial" w:eastAsia="Arial" w:hAnsi="Arial"/>
                <w:b/>
                <w:bCs/>
                <w:color w:val="FFFFFF"/>
                <w:sz w:val="20"/>
                <w:szCs w:val="20"/>
              </w:rPr>
              <w:t xml:space="preserve">Uso</w:t>
            </w:r>
          </w:p>
        </w:tc>
      </w:tr>
      <w:tr>
        <w:tc>
          <w:tcPr>
            <w:tcW w:type="dxa" w:w="20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ABC Económica</w:t>
            </w:r>
          </w:p>
        </w:tc>
        <w:tc>
          <w:tcPr>
            <w:tcW w:type="dxa" w:w="35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Valor de consumo anual (CMD × precio)</w:t>
            </w:r>
          </w:p>
        </w:tc>
        <w:tc>
          <w:tcPr>
            <w:tcW w:type="dxa" w:w="38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A = 80% del gasto, B = 15%, C = 5%</w:t>
            </w:r>
          </w:p>
        </w:tc>
      </w:tr>
      <w:tr>
        <w:tc>
          <w:tcPr>
            <w:tcW w:type="dxa" w:w="20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VED Clínica</w:t>
            </w:r>
          </w:p>
        </w:tc>
        <w:tc>
          <w:tcPr>
            <w:tcW w:type="dxa" w:w="35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Criticidad terapéutica</w:t>
            </w:r>
          </w:p>
        </w:tc>
        <w:tc>
          <w:tcPr>
            <w:tcW w:type="dxa" w:w="386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Vital / Esencial / Deseable</w:t>
            </w:r>
          </w:p>
        </w:tc>
      </w:tr>
      <w:tr>
        <w:tc>
          <w:tcPr>
            <w:tcW w:type="dxa" w:w="20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ABC × VED</w:t>
            </w:r>
          </w:p>
        </w:tc>
        <w:tc>
          <w:tcPr>
            <w:tcW w:type="dxa" w:w="35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Combinación de ambas</w:t>
            </w:r>
          </w:p>
        </w:tc>
        <w:tc>
          <w:tcPr>
            <w:tcW w:type="dxa" w:w="38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AV = máxima prioridad, CD = mínima</w:t>
            </w:r>
          </w:p>
        </w:tc>
      </w:tr>
    </w:tbl>
    <w:p>
      <w:pPr>
        <w:spacing w:after="100"/>
      </w:pPr>
      <w:r>
        <w:rPr>
          <w:rFonts w:ascii="Arial" w:cs="Arial" w:eastAsia="Arial" w:hAnsi="Arial"/>
          <w:b w:val="false"/>
          <w:bCs w:val="false"/>
          <w:i/>
          <w:iCs/>
          <w:color w:val="1A2233"/>
          <w:sz w:val="22"/>
          <w:szCs w:val="22"/>
        </w:rPr>
        <w:t xml:space="preserve">La clasificación VED es editable: en la tabla de programación o en el tab "Análisis ABC", el QF puede cambiar la clasificación de cualquier fármaco con un clic (V → E → D → V).</w:t>
      </w:r>
    </w:p>
    <w:p>
      <w:pPr>
        <w:spacing w:after="120"/>
      </w:pPr>
      <w:r>
        <w:t xml:space="preserve"/>
      </w:r>
    </w:p>
    <w:p>
      <w:pPr>
        <w:pStyle w:val="Heading2"/>
        <w:spacing w:after="80" w:before="240"/>
      </w:pPr>
      <w:r>
        <w:rPr>
          <w:rFonts w:ascii="Arial" w:cs="Arial" w:eastAsia="Arial" w:hAnsi="Arial"/>
          <w:b/>
          <w:bCs/>
          <w:color w:val="1B4D91"/>
          <w:sz w:val="26"/>
          <w:szCs w:val="26"/>
        </w:rPr>
        <w:t xml:space="preserve">2.2 Pedido a Bodega</w:t>
      </w:r>
    </w:p>
    <w:p>
      <w:pPr>
        <w:spacing w:after="100"/>
      </w:pPr>
      <w:r>
        <w:rPr>
          <w:rFonts w:ascii="Arial" w:cs="Arial" w:eastAsia="Arial" w:hAnsi="Arial"/>
          <w:b w:val="false"/>
          <w:bCs w:val="false"/>
          <w:i w:val="false"/>
          <w:iCs w:val="false"/>
          <w:color w:val="1A2233"/>
          <w:sz w:val="22"/>
          <w:szCs w:val="22"/>
        </w:rPr>
        <w:t xml:space="preserve">Genera el pedido semanal o quincenal a Bodega General, basado en el stock actual, el CMD y la capacidad máxima configurada.</w:t>
      </w:r>
    </w:p>
    <w:p>
      <w:pPr>
        <w:spacing w:after="120"/>
      </w:pPr>
      <w:r>
        <w:t xml:space="preserve"/>
      </w:r>
    </w:p>
    <w:p>
      <w:pPr>
        <w:spacing w:after="60" w:before="160"/>
      </w:pPr>
      <w:r>
        <w:rPr>
          <w:rFonts w:ascii="Arial" w:cs="Arial" w:eastAsia="Arial" w:hAnsi="Arial"/>
          <w:b/>
          <w:bCs/>
          <w:color w:val="1B4D91"/>
          <w:sz w:val="22"/>
          <w:szCs w:val="22"/>
        </w:rPr>
        <w:t xml:space="preserve">Filtros disponibles</w:t>
      </w:r>
    </w:p>
    <w:p>
      <w:pPr>
        <w:pStyle w:val="ListParagraph"/>
        <w:numPr>
          <w:ilvl w:val="0"/>
          <w:numId w:val="2"/>
        </w:numPr>
        <w:spacing w:after="60"/>
      </w:pPr>
      <w:r>
        <w:rPr>
          <w:rFonts w:ascii="Arial" w:cs="Arial" w:eastAsia="Arial" w:hAnsi="Arial"/>
          <w:sz w:val="22"/>
          <w:szCs w:val="22"/>
        </w:rPr>
        <w:t xml:space="preserve">Por familia terapéutica (213, 214, 215, etc.)</w:t>
      </w:r>
    </w:p>
    <w:p>
      <w:pPr>
        <w:pStyle w:val="ListParagraph"/>
        <w:numPr>
          <w:ilvl w:val="0"/>
          <w:numId w:val="2"/>
        </w:numPr>
        <w:spacing w:after="60"/>
      </w:pPr>
      <w:r>
        <w:rPr>
          <w:rFonts w:ascii="Arial" w:cs="Arial" w:eastAsia="Arial" w:hAnsi="Arial"/>
          <w:sz w:val="22"/>
          <w:szCs w:val="22"/>
        </w:rPr>
        <w:t xml:space="preserve">Por estado de stock (crítico, bajo mínimo, normal, sobre máximo)</w:t>
      </w:r>
    </w:p>
    <w:p>
      <w:pPr>
        <w:pStyle w:val="ListParagraph"/>
        <w:numPr>
          <w:ilvl w:val="0"/>
          <w:numId w:val="2"/>
        </w:numPr>
        <w:spacing w:after="60"/>
      </w:pPr>
      <w:r>
        <w:rPr>
          <w:rFonts w:ascii="Arial" w:cs="Arial" w:eastAsia="Arial" w:hAnsi="Arial"/>
          <w:sz w:val="22"/>
          <w:szCs w:val="22"/>
        </w:rPr>
        <w:t xml:space="preserve">Por clase ABC (A, B, C)</w:t>
      </w:r>
    </w:p>
    <w:p>
      <w:pPr>
        <w:pStyle w:val="ListParagraph"/>
        <w:numPr>
          <w:ilvl w:val="0"/>
          <w:numId w:val="2"/>
        </w:numPr>
        <w:spacing w:after="60"/>
      </w:pPr>
      <w:r>
        <w:rPr>
          <w:rFonts w:ascii="Arial" w:cs="Arial" w:eastAsia="Arial" w:hAnsi="Arial"/>
          <w:sz w:val="22"/>
          <w:szCs w:val="22"/>
        </w:rPr>
        <w:t xml:space="preserve">Por clasificación VED (Vital, Esencial, Deseable)</w:t>
      </w:r>
    </w:p>
    <w:p>
      <w:pPr>
        <w:pStyle w:val="ListParagraph"/>
        <w:numPr>
          <w:ilvl w:val="0"/>
          <w:numId w:val="2"/>
        </w:numPr>
        <w:spacing w:after="60"/>
      </w:pPr>
      <w:r>
        <w:rPr>
          <w:rFonts w:ascii="Arial" w:cs="Arial" w:eastAsia="Arial" w:hAnsi="Arial"/>
          <w:sz w:val="22"/>
          <w:szCs w:val="22"/>
        </w:rPr>
        <w:t xml:space="preserve">Por combinación ABC × VED (ej: "A + Vital" para máxima prioridad)</w:t>
      </w:r>
    </w:p>
    <w:p>
      <w:pPr>
        <w:pStyle w:val="ListParagraph"/>
        <w:numPr>
          <w:ilvl w:val="0"/>
          <w:numId w:val="2"/>
        </w:numPr>
        <w:spacing w:after="60"/>
      </w:pPr>
      <w:r>
        <w:rPr>
          <w:rFonts w:ascii="Arial" w:cs="Arial" w:eastAsia="Arial" w:hAnsi="Arial"/>
          <w:sz w:val="22"/>
          <w:szCs w:val="22"/>
        </w:rPr>
        <w:t xml:space="preserve">Por cumplimiento de entrega (% de lo entregado vs programado)</w:t>
      </w:r>
    </w:p>
    <w:p>
      <w:pPr>
        <w:spacing w:after="120"/>
      </w:pPr>
      <w:r>
        <w:t xml:space="preserve"/>
      </w:r>
    </w:p>
    <w:p>
      <w:pPr>
        <w:spacing w:after="60" w:before="160"/>
      </w:pPr>
      <w:r>
        <w:rPr>
          <w:rFonts w:ascii="Arial" w:cs="Arial" w:eastAsia="Arial" w:hAnsi="Arial"/>
          <w:b/>
          <w:bCs/>
          <w:color w:val="1B4D91"/>
          <w:sz w:val="22"/>
          <w:szCs w:val="22"/>
        </w:rPr>
        <w:t xml:space="preserve">Cierre mensual del período</w:t>
      </w:r>
    </w:p>
    <w:p>
      <w:pPr>
        <w:spacing w:after="100"/>
      </w:pPr>
      <w:r>
        <w:rPr>
          <w:rFonts w:ascii="Arial" w:cs="Arial" w:eastAsia="Arial" w:hAnsi="Arial"/>
          <w:b w:val="false"/>
          <w:bCs w:val="false"/>
          <w:i w:val="false"/>
          <w:iCs w:val="false"/>
          <w:color w:val="1A2233"/>
          <w:sz w:val="22"/>
          <w:szCs w:val="22"/>
        </w:rPr>
        <w:t xml:space="preserve">Al comenzar un mes nuevo, el sistema detecta automáticamente si hay un período anterior sin cerrar y ofrece cerrarlo antes de continuar. El cierre genera un snapshot con estadísticas del período.</w:t>
      </w:r>
    </w:p>
    <w:p>
      <w:pPr>
        <w:spacing w:after="120"/>
      </w:pPr>
      <w:r>
        <w:t xml:space="preserve"/>
      </w:r>
    </w:p>
    <w:p>
      <w:pPr>
        <w:pStyle w:val="Heading2"/>
        <w:spacing w:after="80" w:before="240"/>
      </w:pPr>
      <w:r>
        <w:rPr>
          <w:rFonts w:ascii="Arial" w:cs="Arial" w:eastAsia="Arial" w:hAnsi="Arial"/>
          <w:b/>
          <w:bCs/>
          <w:color w:val="1B4D91"/>
          <w:sz w:val="26"/>
          <w:szCs w:val="26"/>
        </w:rPr>
        <w:t xml:space="preserve">2.3 Reposición de Sala</w:t>
      </w:r>
    </w:p>
    <w:p>
      <w:pPr>
        <w:spacing w:after="100"/>
      </w:pPr>
      <w:r>
        <w:rPr>
          <w:rFonts w:ascii="Arial" w:cs="Arial" w:eastAsia="Arial" w:hAnsi="Arial"/>
          <w:b w:val="false"/>
          <w:bCs w:val="false"/>
          <w:i w:val="false"/>
          <w:iCs w:val="false"/>
          <w:color w:val="1A2233"/>
          <w:sz w:val="22"/>
          <w:szCs w:val="22"/>
        </w:rPr>
        <w:t xml:space="preserve">Módulo para que los TENS soliciten reposición de medicamentos desde bodega hacia sala. Acceso directo por URL o QR en la farmacia.</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4000"/>
        <w:gridCol w:w="3360"/>
      </w:tblGrid>
      <w:tr>
        <w:trPr>
          <w:tblHeader/>
        </w:trPr>
        <w:tc>
          <w:tcPr>
            <w:tcW w:type="dxa" w:w="2000"/>
            <w:tcBorders>
              <w:top w:val="single" w:color="0B2A5B" w:sz="1"/>
              <w:left w:val="single" w:color="0B2A5B" w:sz="1"/>
              <w:bottom w:val="single" w:color="0B2A5B" w:sz="1"/>
              <w:right w:val="single" w:color="0B2A5B" w:sz="1"/>
            </w:tcBorders>
            <w:shd w:fill="0B2A5B" w:val="clear"/>
            <w:tcMar>
              <w:top w:type="dxa" w:w="80"/>
              <w:left w:type="dxa" w:w="120"/>
              <w:bottom w:type="dxa" w:w="80"/>
              <w:right w:type="dxa" w:w="120"/>
            </w:tcMar>
          </w:tcPr>
          <w:p>
            <w:r>
              <w:rPr>
                <w:rFonts w:ascii="Arial" w:cs="Arial" w:eastAsia="Arial" w:hAnsi="Arial"/>
                <w:b/>
                <w:bCs/>
                <w:color w:val="FFFFFF"/>
                <w:sz w:val="20"/>
                <w:szCs w:val="20"/>
              </w:rPr>
              <w:t xml:space="preserve">Tipo</w:t>
            </w:r>
          </w:p>
        </w:tc>
        <w:tc>
          <w:tcPr>
            <w:tcW w:type="dxa" w:w="4000"/>
            <w:tcBorders>
              <w:top w:val="single" w:color="0B2A5B" w:sz="1"/>
              <w:left w:val="single" w:color="0B2A5B" w:sz="1"/>
              <w:bottom w:val="single" w:color="0B2A5B" w:sz="1"/>
              <w:right w:val="single" w:color="0B2A5B" w:sz="1"/>
            </w:tcBorders>
            <w:shd w:fill="0B2A5B" w:val="clear"/>
            <w:tcMar>
              <w:top w:type="dxa" w:w="80"/>
              <w:left w:type="dxa" w:w="120"/>
              <w:bottom w:type="dxa" w:w="80"/>
              <w:right w:type="dxa" w:w="120"/>
            </w:tcMar>
          </w:tcPr>
          <w:p>
            <w:r>
              <w:rPr>
                <w:rFonts w:ascii="Arial" w:cs="Arial" w:eastAsia="Arial" w:hAnsi="Arial"/>
                <w:b/>
                <w:bCs/>
                <w:color w:val="FFFFFF"/>
                <w:sz w:val="20"/>
                <w:szCs w:val="20"/>
              </w:rPr>
              <w:t xml:space="preserve">Fármacos</w:t>
            </w:r>
          </w:p>
        </w:tc>
        <w:tc>
          <w:tcPr>
            <w:tcW w:type="dxa" w:w="3360"/>
            <w:tcBorders>
              <w:top w:val="single" w:color="0B2A5B" w:sz="1"/>
              <w:left w:val="single" w:color="0B2A5B" w:sz="1"/>
              <w:bottom w:val="single" w:color="0B2A5B" w:sz="1"/>
              <w:right w:val="single" w:color="0B2A5B" w:sz="1"/>
            </w:tcBorders>
            <w:shd w:fill="0B2A5B" w:val="clear"/>
            <w:tcMar>
              <w:top w:type="dxa" w:w="80"/>
              <w:left w:type="dxa" w:w="120"/>
              <w:bottom w:type="dxa" w:w="80"/>
              <w:right w:type="dxa" w:w="120"/>
            </w:tcMar>
          </w:tcPr>
          <w:p>
            <w:r>
              <w:rPr>
                <w:rFonts w:ascii="Arial" w:cs="Arial" w:eastAsia="Arial" w:hAnsi="Arial"/>
                <w:b/>
                <w:bCs/>
                <w:color w:val="FFFFFF"/>
                <w:sz w:val="20"/>
                <w:szCs w:val="20"/>
              </w:rPr>
              <w:t xml:space="preserve">CMD / CDP</w:t>
            </w:r>
          </w:p>
        </w:tc>
      </w:tr>
      <w:tr>
        <w:tc>
          <w:tcPr>
            <w:tcW w:type="dxa" w:w="20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Reposición Normal</w:t>
            </w:r>
          </w:p>
        </w:tc>
        <w:tc>
          <w:tcPr>
            <w:tcW w:type="dxa" w:w="40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Arsenal completo del hospital (1.598 fármacos)</w:t>
            </w:r>
          </w:p>
        </w:tc>
        <w:tc>
          <w:tcPr>
            <w:tcW w:type="dxa" w:w="33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CMD desde consumo SIRYC</w:t>
            </w:r>
          </w:p>
        </w:tc>
      </w:tr>
      <w:tr>
        <w:tc>
          <w:tcPr>
            <w:tcW w:type="dxa" w:w="20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Dosis Unitaria (DU)</w:t>
            </w:r>
          </w:p>
        </w:tc>
        <w:tc>
          <w:tcPr>
            <w:tcW w:type="dxa" w:w="40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Solo medicamentos activos en el módulo Reenvasado</w:t>
            </w:r>
          </w:p>
        </w:tc>
        <w:tc>
          <w:tcPr>
            <w:tcW w:type="dxa" w:w="336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CDP calculado desde historial de salidas DU</w:t>
            </w:r>
          </w:p>
        </w:tc>
      </w:tr>
    </w:tbl>
    <w:p>
      <w:pPr>
        <w:spacing w:after="120"/>
      </w:pPr>
      <w:r>
        <w:t xml:space="preserve"/>
      </w:r>
    </w:p>
    <w:p>
      <w:pPr>
        <w:spacing w:after="100"/>
      </w:pPr>
      <w:r>
        <w:rPr>
          <w:rFonts w:ascii="Arial" w:cs="Arial" w:eastAsia="Arial" w:hAnsi="Arial"/>
          <w:b w:val="false"/>
          <w:bCs w:val="false"/>
          <w:i/>
          <w:iCs/>
          <w:color w:val="1A2233"/>
          <w:sz w:val="22"/>
          <w:szCs w:val="22"/>
        </w:rPr>
        <w:t xml:space="preserve">El TENS selecciona las cantidades con botones +/− o usando el sugerido automático. Al enviar la solicitud, el QF o TENS de bodega la ve en tiempo real. El sistema vibra el celular del TENS cuando su solicitud es despachada.</w:t>
      </w:r>
    </w:p>
    <w:p>
      <w:pPr>
        <w:spacing w:after="120"/>
      </w:pPr>
      <w:r>
        <w:t xml:space="preserve"/>
      </w:r>
    </w:p>
    <w:p>
      <w:pPr>
        <w:spacing w:after="100"/>
      </w:pPr>
      <w:r>
        <w:rPr>
          <w:rFonts w:ascii="Arial" w:cs="Arial" w:eastAsia="Arial" w:hAnsi="Arial"/>
          <w:b w:val="false"/>
          <w:bCs w:val="false"/>
          <w:i/>
          <w:iCs/>
          <w:color w:val="1A2233"/>
          <w:sz w:val="22"/>
          <w:szCs w:val="22"/>
        </w:rPr>
        <w:t xml:space="preserve">Funciona offline: si no hay WiFi, muestra los datos de la última carga y guarda la solicitud para enviarla al reconectarse.</w:t>
      </w:r>
    </w:p>
    <w:p>
      <w:pPr>
        <w:spacing w:after="120"/>
      </w:pPr>
      <w:r>
        <w:t xml:space="preserve"/>
      </w:r>
    </w:p>
    <w:p>
      <w:pPr>
        <w:pStyle w:val="Heading2"/>
        <w:spacing w:after="80" w:before="240"/>
      </w:pPr>
      <w:r>
        <w:rPr>
          <w:rFonts w:ascii="Arial" w:cs="Arial" w:eastAsia="Arial" w:hAnsi="Arial"/>
          <w:b/>
          <w:bCs/>
          <w:color w:val="1B4D91"/>
          <w:sz w:val="26"/>
          <w:szCs w:val="26"/>
        </w:rPr>
        <w:t xml:space="preserve">2.4 Despacho Bodega</w:t>
      </w:r>
    </w:p>
    <w:p>
      <w:pPr>
        <w:spacing w:after="100"/>
      </w:pPr>
      <w:r>
        <w:rPr>
          <w:rFonts w:ascii="Arial" w:cs="Arial" w:eastAsia="Arial" w:hAnsi="Arial"/>
          <w:b w:val="false"/>
          <w:bCs w:val="false"/>
          <w:i w:val="false"/>
          <w:iCs w:val="false"/>
          <w:color w:val="1A2233"/>
          <w:sz w:val="22"/>
          <w:szCs w:val="22"/>
        </w:rPr>
        <w:t xml:space="preserve">Pantalla optimizada para que el TENS de bodega gestione las solicitudes pendientes. Acceso por URL hggb-farmacia.pages.dev/bodega.html.</w:t>
      </w:r>
    </w:p>
    <w:p>
      <w:pPr>
        <w:pStyle w:val="ListParagraph"/>
        <w:numPr>
          <w:ilvl w:val="0"/>
          <w:numId w:val="2"/>
        </w:numPr>
        <w:spacing w:after="60"/>
      </w:pPr>
      <w:r>
        <w:rPr>
          <w:rFonts w:ascii="Arial" w:cs="Arial" w:eastAsia="Arial" w:hAnsi="Arial"/>
          <w:sz w:val="22"/>
          <w:szCs w:val="22"/>
        </w:rPr>
        <w:t xml:space="preserve">Las solicitudes aparecen en cards con el nombre del TENS, tiempo de espera y tipo (Normal / Dosis Unitaria)</w:t>
      </w:r>
    </w:p>
    <w:p>
      <w:pPr>
        <w:pStyle w:val="ListParagraph"/>
        <w:numPr>
          <w:ilvl w:val="0"/>
          <w:numId w:val="2"/>
        </w:numPr>
        <w:spacing w:after="60"/>
      </w:pPr>
      <w:r>
        <w:rPr>
          <w:rFonts w:ascii="Arial" w:cs="Arial" w:eastAsia="Arial" w:hAnsi="Arial"/>
          <w:sz w:val="22"/>
          <w:szCs w:val="22"/>
        </w:rPr>
        <w:t xml:space="preserve">El TENS bodega ajusta las cantidades despachadas y marca los sin stock</w:t>
      </w:r>
    </w:p>
    <w:p>
      <w:pPr>
        <w:pStyle w:val="ListParagraph"/>
        <w:numPr>
          <w:ilvl w:val="0"/>
          <w:numId w:val="2"/>
        </w:numPr>
        <w:spacing w:after="60"/>
      </w:pPr>
      <w:r>
        <w:rPr>
          <w:rFonts w:ascii="Arial" w:cs="Arial" w:eastAsia="Arial" w:hAnsi="Arial"/>
          <w:sz w:val="22"/>
          <w:szCs w:val="22"/>
        </w:rPr>
        <w:t xml:space="preserve">Al confirmar el despacho, el sistema descuenta automáticamente del inventario correspondiente:</w:t>
      </w:r>
    </w:p>
    <w:p>
      <w:pPr>
        <w:pStyle w:val="ListParagraph"/>
        <w:numPr>
          <w:ilvl w:val="0"/>
          <w:numId w:val="2"/>
        </w:numPr>
        <w:spacing w:after="60"/>
      </w:pPr>
      <w:r>
        <w:rPr>
          <w:rFonts w:ascii="Arial" w:cs="Arial" w:eastAsia="Arial" w:hAnsi="Arial"/>
          <w:sz w:val="22"/>
          <w:szCs w:val="22"/>
        </w:rPr>
        <w:t xml:space="preserve">  - Solicitud Normal → descuenta de Bincard Digital (FEFO)</w:t>
      </w:r>
    </w:p>
    <w:p>
      <w:pPr>
        <w:pStyle w:val="ListParagraph"/>
        <w:numPr>
          <w:ilvl w:val="0"/>
          <w:numId w:val="2"/>
        </w:numPr>
        <w:spacing w:after="60"/>
      </w:pPr>
      <w:r>
        <w:rPr>
          <w:rFonts w:ascii="Arial" w:cs="Arial" w:eastAsia="Arial" w:hAnsi="Arial"/>
          <w:sz w:val="22"/>
          <w:szCs w:val="22"/>
        </w:rPr>
        <w:t xml:space="preserve">  - Solicitud DU → descuenta de inventario Reenvasado (FEFO por vencimientos)</w:t>
      </w:r>
    </w:p>
    <w:p>
      <w:pPr>
        <w:pStyle w:val="ListParagraph"/>
        <w:numPr>
          <w:ilvl w:val="0"/>
          <w:numId w:val="2"/>
        </w:numPr>
        <w:spacing w:after="60"/>
      </w:pPr>
      <w:r>
        <w:rPr>
          <w:rFonts w:ascii="Arial" w:cs="Arial" w:eastAsia="Arial" w:hAnsi="Arial"/>
          <w:sz w:val="22"/>
          <w:szCs w:val="22"/>
        </w:rPr>
        <w:t xml:space="preserve">El stock en sala se actualiza automáticamente en Supabase</w:t>
      </w:r>
    </w:p>
    <w:p>
      <w:pPr>
        <w:spacing w:after="120"/>
      </w:pPr>
      <w:r>
        <w:t xml:space="preserve"/>
      </w:r>
    </w:p>
    <w:p>
      <w:pPr>
        <w:pStyle w:val="Heading2"/>
        <w:spacing w:after="80" w:before="240"/>
      </w:pPr>
      <w:r>
        <w:rPr>
          <w:rFonts w:ascii="Arial" w:cs="Arial" w:eastAsia="Arial" w:hAnsi="Arial"/>
          <w:b/>
          <w:bCs/>
          <w:color w:val="1B4D91"/>
          <w:sz w:val="26"/>
          <w:szCs w:val="26"/>
        </w:rPr>
        <w:t xml:space="preserve">2.5 Bincard Digital</w:t>
      </w:r>
    </w:p>
    <w:p>
      <w:pPr>
        <w:spacing w:after="100"/>
      </w:pPr>
      <w:r>
        <w:rPr>
          <w:rFonts w:ascii="Arial" w:cs="Arial" w:eastAsia="Arial" w:hAnsi="Arial"/>
          <w:b w:val="false"/>
          <w:bCs w:val="false"/>
          <w:i w:val="false"/>
          <w:iCs w:val="false"/>
          <w:color w:val="1A2233"/>
          <w:sz w:val="22"/>
          <w:szCs w:val="22"/>
        </w:rPr>
        <w:t xml:space="preserve">Control de inventario por lotes con seguimiento FEFO (First Expired, First Out). Reemplaza la bincard física.</w:t>
      </w:r>
    </w:p>
    <w:p>
      <w:pPr>
        <w:pStyle w:val="ListParagraph"/>
        <w:numPr>
          <w:ilvl w:val="0"/>
          <w:numId w:val="2"/>
        </w:numPr>
        <w:spacing w:after="60"/>
      </w:pPr>
      <w:r>
        <w:rPr>
          <w:rFonts w:ascii="Arial" w:cs="Arial" w:eastAsia="Arial" w:hAnsi="Arial"/>
          <w:sz w:val="22"/>
          <w:szCs w:val="22"/>
        </w:rPr>
        <w:t xml:space="preserve">Ingreso de lotes con fecha de vencimiento y cantidad</w:t>
      </w:r>
    </w:p>
    <w:p>
      <w:pPr>
        <w:pStyle w:val="ListParagraph"/>
        <w:numPr>
          <w:ilvl w:val="0"/>
          <w:numId w:val="2"/>
        </w:numPr>
        <w:spacing w:after="60"/>
      </w:pPr>
      <w:r>
        <w:rPr>
          <w:rFonts w:ascii="Arial" w:cs="Arial" w:eastAsia="Arial" w:hAnsi="Arial"/>
          <w:sz w:val="22"/>
          <w:szCs w:val="22"/>
        </w:rPr>
        <w:t xml:space="preserve">Registro automático de entradas (recepción guías CGCOM) y salidas (despacho sala)</w:t>
      </w:r>
    </w:p>
    <w:p>
      <w:pPr>
        <w:pStyle w:val="ListParagraph"/>
        <w:numPr>
          <w:ilvl w:val="0"/>
          <w:numId w:val="2"/>
        </w:numPr>
        <w:spacing w:after="60"/>
      </w:pPr>
      <w:r>
        <w:rPr>
          <w:rFonts w:ascii="Arial" w:cs="Arial" w:eastAsia="Arial" w:hAnsi="Arial"/>
          <w:sz w:val="22"/>
          <w:szCs w:val="22"/>
        </w:rPr>
        <w:t xml:space="preserve">Historial de movimientos por fármaco con saldo corriente</w:t>
      </w:r>
    </w:p>
    <w:p>
      <w:pPr>
        <w:pStyle w:val="ListParagraph"/>
        <w:numPr>
          <w:ilvl w:val="0"/>
          <w:numId w:val="2"/>
        </w:numPr>
        <w:spacing w:after="60"/>
      </w:pPr>
      <w:r>
        <w:rPr>
          <w:rFonts w:ascii="Arial" w:cs="Arial" w:eastAsia="Arial" w:hAnsi="Arial"/>
          <w:sz w:val="22"/>
          <w:szCs w:val="22"/>
        </w:rPr>
        <w:t xml:space="preserve">Alerta visual cuando el lote más próximo a vencer tiene menos de 90 días</w:t>
      </w:r>
    </w:p>
    <w:p>
      <w:pPr>
        <w:spacing w:after="120"/>
      </w:pPr>
      <w:r>
        <w:t xml:space="preserve"/>
      </w:r>
    </w:p>
    <w:p>
      <w:pPr>
        <w:pStyle w:val="Heading2"/>
        <w:spacing w:after="80" w:before="240"/>
      </w:pPr>
      <w:r>
        <w:rPr>
          <w:rFonts w:ascii="Arial" w:cs="Arial" w:eastAsia="Arial" w:hAnsi="Arial"/>
          <w:b/>
          <w:bCs/>
          <w:color w:val="1B4D91"/>
          <w:sz w:val="26"/>
          <w:szCs w:val="26"/>
        </w:rPr>
        <w:t xml:space="preserve">2.6 Reenvasado Dosis Unitaria</w:t>
      </w:r>
    </w:p>
    <w:p>
      <w:pPr>
        <w:spacing w:after="100"/>
      </w:pPr>
      <w:r>
        <w:rPr>
          <w:rFonts w:ascii="Arial" w:cs="Arial" w:eastAsia="Arial" w:hAnsi="Arial"/>
          <w:b w:val="false"/>
          <w:bCs w:val="false"/>
          <w:i w:val="false"/>
          <w:iCs w:val="false"/>
          <w:color w:val="1A2233"/>
          <w:sz w:val="22"/>
          <w:szCs w:val="22"/>
        </w:rPr>
        <w:t xml:space="preserve">Gestión del proceso de reenvasado: guías de corte, inventario virtual y trazabilidad de salidas.</w:t>
      </w:r>
    </w:p>
    <w:p>
      <w:pPr>
        <w:pStyle w:val="ListParagraph"/>
        <w:numPr>
          <w:ilvl w:val="0"/>
          <w:numId w:val="2"/>
        </w:numPr>
        <w:spacing w:after="60"/>
      </w:pPr>
      <w:r>
        <w:rPr>
          <w:rFonts w:ascii="Arial" w:cs="Arial" w:eastAsia="Arial" w:hAnsi="Arial"/>
          <w:sz w:val="22"/>
          <w:szCs w:val="22"/>
        </w:rPr>
        <w:t xml:space="preserve">Inventario de medicamentos activos en el proceso de reenvasado</w:t>
      </w:r>
    </w:p>
    <w:p>
      <w:pPr>
        <w:pStyle w:val="ListParagraph"/>
        <w:numPr>
          <w:ilvl w:val="0"/>
          <w:numId w:val="2"/>
        </w:numPr>
        <w:spacing w:after="60"/>
      </w:pPr>
      <w:r>
        <w:rPr>
          <w:rFonts w:ascii="Arial" w:cs="Arial" w:eastAsia="Arial" w:hAnsi="Arial"/>
          <w:sz w:val="22"/>
          <w:szCs w:val="22"/>
        </w:rPr>
        <w:t xml:space="preserve">CDP (Consumo Diario Promedio) calculado desde el historial de salidas real, no del consumo SIRYC</w:t>
      </w:r>
    </w:p>
    <w:p>
      <w:pPr>
        <w:pStyle w:val="ListParagraph"/>
        <w:numPr>
          <w:ilvl w:val="0"/>
          <w:numId w:val="2"/>
        </w:numPr>
        <w:spacing w:after="60"/>
      </w:pPr>
      <w:r>
        <w:rPr>
          <w:rFonts w:ascii="Arial" w:cs="Arial" w:eastAsia="Arial" w:hAnsi="Arial"/>
          <w:sz w:val="22"/>
          <w:szCs w:val="22"/>
        </w:rPr>
        <w:t xml:space="preserve">FEFO sobre los vencimientos del inventario reenvasado</w:t>
      </w:r>
    </w:p>
    <w:p>
      <w:pPr>
        <w:pStyle w:val="ListParagraph"/>
        <w:numPr>
          <w:ilvl w:val="0"/>
          <w:numId w:val="2"/>
        </w:numPr>
        <w:spacing w:after="60"/>
      </w:pPr>
      <w:r>
        <w:rPr>
          <w:rFonts w:ascii="Arial" w:cs="Arial" w:eastAsia="Arial" w:hAnsi="Arial"/>
          <w:sz w:val="22"/>
          <w:szCs w:val="22"/>
        </w:rPr>
        <w:t xml:space="preserve">Historial de movimientos integrado con la Reposición de Sala DU</w:t>
      </w:r>
    </w:p>
    <w:p>
      <w:pPr>
        <w:spacing w:after="120"/>
      </w:pPr>
      <w:r>
        <w:t xml:space="preserve"/>
      </w:r>
    </w:p>
    <w:p>
      <w:pPr>
        <w:pStyle w:val="Heading2"/>
        <w:spacing w:after="80" w:before="240"/>
      </w:pPr>
      <w:r>
        <w:rPr>
          <w:rFonts w:ascii="Arial" w:cs="Arial" w:eastAsia="Arial" w:hAnsi="Arial"/>
          <w:b/>
          <w:bCs/>
          <w:color w:val="1B4D91"/>
          <w:sz w:val="26"/>
          <w:szCs w:val="26"/>
        </w:rPr>
        <w:t xml:space="preserve">2.7 Vencimientos</w:t>
      </w:r>
    </w:p>
    <w:p>
      <w:pPr>
        <w:spacing w:after="100"/>
      </w:pPr>
      <w:r>
        <w:rPr>
          <w:rFonts w:ascii="Arial" w:cs="Arial" w:eastAsia="Arial" w:hAnsi="Arial"/>
          <w:b w:val="false"/>
          <w:bCs w:val="false"/>
          <w:i w:val="false"/>
          <w:iCs w:val="false"/>
          <w:color w:val="1A2233"/>
          <w:sz w:val="22"/>
          <w:szCs w:val="22"/>
        </w:rPr>
        <w:t xml:space="preserve">Módulo centralizado de control de vencimientos inter-farmacias.</w:t>
      </w:r>
    </w:p>
    <w:p>
      <w:pPr>
        <w:pStyle w:val="ListParagraph"/>
        <w:numPr>
          <w:ilvl w:val="0"/>
          <w:numId w:val="2"/>
        </w:numPr>
        <w:spacing w:after="60"/>
      </w:pPr>
      <w:r>
        <w:rPr>
          <w:rFonts w:ascii="Arial" w:cs="Arial" w:eastAsia="Arial" w:hAnsi="Arial"/>
          <w:sz w:val="22"/>
          <w:szCs w:val="22"/>
        </w:rPr>
        <w:t xml:space="preserve">Lee automáticamente los vencimientos de Bincard Digital y Reenvasado</w:t>
      </w:r>
    </w:p>
    <w:p>
      <w:pPr>
        <w:pStyle w:val="ListParagraph"/>
        <w:numPr>
          <w:ilvl w:val="0"/>
          <w:numId w:val="2"/>
        </w:numPr>
        <w:spacing w:after="60"/>
      </w:pPr>
      <w:r>
        <w:rPr>
          <w:rFonts w:ascii="Arial" w:cs="Arial" w:eastAsia="Arial" w:hAnsi="Arial"/>
          <w:sz w:val="22"/>
          <w:szCs w:val="22"/>
        </w:rPr>
        <w:t xml:space="preserve">Permite ingresar vencimientos manuales de medicamentos fuera del sistema</w:t>
      </w:r>
    </w:p>
    <w:p>
      <w:pPr>
        <w:pStyle w:val="ListParagraph"/>
        <w:numPr>
          <w:ilvl w:val="0"/>
          <w:numId w:val="2"/>
        </w:numPr>
        <w:spacing w:after="60"/>
      </w:pPr>
      <w:r>
        <w:rPr>
          <w:rFonts w:ascii="Arial" w:cs="Arial" w:eastAsia="Arial" w:hAnsi="Arial"/>
          <w:sz w:val="22"/>
          <w:szCs w:val="22"/>
        </w:rPr>
        <w:t xml:space="preserve">Los vencimientos manuales se sincronizan en la nube (visibles desde cualquier equipo)</w:t>
      </w:r>
    </w:p>
    <w:p>
      <w:pPr>
        <w:pStyle w:val="ListParagraph"/>
        <w:numPr>
          <w:ilvl w:val="0"/>
          <w:numId w:val="2"/>
        </w:numPr>
        <w:spacing w:after="60"/>
      </w:pPr>
      <w:r>
        <w:rPr>
          <w:rFonts w:ascii="Arial" w:cs="Arial" w:eastAsia="Arial" w:hAnsi="Arial"/>
          <w:sz w:val="22"/>
          <w:szCs w:val="22"/>
        </w:rPr>
        <w:t xml:space="preserve">Genera guías de redistribución hacia otras farmacias del hospital</w:t>
      </w:r>
    </w:p>
    <w:p>
      <w:pPr>
        <w:pStyle w:val="ListParagraph"/>
        <w:numPr>
          <w:ilvl w:val="0"/>
          <w:numId w:val="2"/>
        </w:numPr>
        <w:spacing w:after="60"/>
      </w:pPr>
      <w:r>
        <w:rPr>
          <w:rFonts w:ascii="Arial" w:cs="Arial" w:eastAsia="Arial" w:hAnsi="Arial"/>
          <w:sz w:val="22"/>
          <w:szCs w:val="22"/>
        </w:rPr>
        <w:t xml:space="preserve">Exporta informe ISP de próximos a vencer</w:t>
      </w:r>
    </w:p>
    <w:p>
      <w:pPr>
        <w:spacing w:after="120"/>
      </w:pPr>
      <w:r>
        <w:t xml:space="preserve"/>
      </w:r>
    </w:p>
    <w:p>
      <w:pPr>
        <w:pStyle w:val="Heading2"/>
        <w:spacing w:after="80" w:before="240"/>
      </w:pPr>
      <w:r>
        <w:rPr>
          <w:rFonts w:ascii="Arial" w:cs="Arial" w:eastAsia="Arial" w:hAnsi="Arial"/>
          <w:b/>
          <w:bCs/>
          <w:color w:val="1B4D91"/>
          <w:sz w:val="26"/>
          <w:szCs w:val="26"/>
        </w:rPr>
        <w:t xml:space="preserve">2.8 Traspasos</w:t>
      </w:r>
    </w:p>
    <w:p>
      <w:pPr>
        <w:spacing w:after="100"/>
      </w:pPr>
      <w:r>
        <w:rPr>
          <w:rFonts w:ascii="Arial" w:cs="Arial" w:eastAsia="Arial" w:hAnsi="Arial"/>
          <w:b w:val="false"/>
          <w:bCs w:val="false"/>
          <w:i w:val="false"/>
          <w:iCs w:val="false"/>
          <w:color w:val="1A2233"/>
          <w:sz w:val="22"/>
          <w:szCs w:val="22"/>
        </w:rPr>
        <w:t xml:space="preserve">Sistema de guías de traspaso y préstamo entre farmacias del HGGB. Acceso para todos los QF del hospital.</w:t>
      </w:r>
    </w:p>
    <w:p>
      <w:pPr>
        <w:pStyle w:val="ListParagraph"/>
        <w:numPr>
          <w:ilvl w:val="0"/>
          <w:numId w:val="2"/>
        </w:numPr>
        <w:spacing w:after="60"/>
      </w:pPr>
      <w:r>
        <w:rPr>
          <w:rFonts w:ascii="Arial" w:cs="Arial" w:eastAsia="Arial" w:hAnsi="Arial"/>
          <w:sz w:val="22"/>
          <w:szCs w:val="22"/>
        </w:rPr>
        <w:t xml:space="preserve">Seleccionas la farmacia que presta y la que solicita (bloqueo de autotraspaso)</w:t>
      </w:r>
    </w:p>
    <w:p>
      <w:pPr>
        <w:pStyle w:val="ListParagraph"/>
        <w:numPr>
          <w:ilvl w:val="0"/>
          <w:numId w:val="2"/>
        </w:numPr>
        <w:spacing w:after="60"/>
      </w:pPr>
      <w:r>
        <w:rPr>
          <w:rFonts w:ascii="Arial" w:cs="Arial" w:eastAsia="Arial" w:hAnsi="Arial"/>
          <w:sz w:val="22"/>
          <w:szCs w:val="22"/>
        </w:rPr>
        <w:t xml:space="preserve">Estados: Pendiente → Confirmada → Cerrada | Anulada</w:t>
      </w:r>
    </w:p>
    <w:p>
      <w:pPr>
        <w:pStyle w:val="ListParagraph"/>
        <w:numPr>
          <w:ilvl w:val="0"/>
          <w:numId w:val="2"/>
        </w:numPr>
        <w:spacing w:after="60"/>
      </w:pPr>
      <w:r>
        <w:rPr>
          <w:rFonts w:ascii="Arial" w:cs="Arial" w:eastAsia="Arial" w:hAnsi="Arial"/>
          <w:sz w:val="22"/>
          <w:szCs w:val="22"/>
        </w:rPr>
        <w:t xml:space="preserve">Impresión en formato Carta / Oficio con logo HGGB y Tall Man Lettering</w:t>
      </w:r>
    </w:p>
    <w:p>
      <w:pPr>
        <w:pStyle w:val="ListParagraph"/>
        <w:numPr>
          <w:ilvl w:val="0"/>
          <w:numId w:val="2"/>
        </w:numPr>
        <w:spacing w:after="60"/>
      </w:pPr>
      <w:r>
        <w:rPr>
          <w:rFonts w:ascii="Arial" w:cs="Arial" w:eastAsia="Arial" w:hAnsi="Arial"/>
          <w:sz w:val="22"/>
          <w:szCs w:val="22"/>
        </w:rPr>
        <w:t xml:space="preserve">Historial filtrado por farmacia propia por defecto</w:t>
      </w:r>
    </w:p>
    <w:p>
      <w:pPr>
        <w:spacing w:after="120"/>
      </w:pPr>
      <w:r>
        <w:t xml:space="preserve"/>
      </w:r>
    </w:p>
    <w:p>
      <w:pPr>
        <w:pStyle w:val="Heading2"/>
        <w:spacing w:after="80" w:before="240"/>
      </w:pPr>
      <w:r>
        <w:rPr>
          <w:rFonts w:ascii="Arial" w:cs="Arial" w:eastAsia="Arial" w:hAnsi="Arial"/>
          <w:b/>
          <w:bCs/>
          <w:color w:val="1B4D91"/>
          <w:sz w:val="26"/>
          <w:szCs w:val="26"/>
        </w:rPr>
        <w:t xml:space="preserve">2.9 Etiquetas</w:t>
      </w:r>
    </w:p>
    <w:p>
      <w:pPr>
        <w:spacing w:after="100"/>
      </w:pPr>
      <w:r>
        <w:rPr>
          <w:rFonts w:ascii="Arial" w:cs="Arial" w:eastAsia="Arial" w:hAnsi="Arial"/>
          <w:b w:val="false"/>
          <w:bCs w:val="false"/>
          <w:i w:val="false"/>
          <w:iCs w:val="false"/>
          <w:color w:val="1A2233"/>
          <w:sz w:val="22"/>
          <w:szCs w:val="22"/>
        </w:rPr>
        <w:t xml:space="preserve">Generador de etiquetas para medicamentos y etiquetas LASA (Look-Alike Sound-Alike).</w:t>
      </w:r>
    </w:p>
    <w:p>
      <w:pPr>
        <w:pStyle w:val="ListParagraph"/>
        <w:numPr>
          <w:ilvl w:val="0"/>
          <w:numId w:val="2"/>
        </w:numPr>
        <w:spacing w:after="60"/>
      </w:pPr>
      <w:r>
        <w:rPr>
          <w:rFonts w:ascii="Arial" w:cs="Arial" w:eastAsia="Arial" w:hAnsi="Arial"/>
          <w:sz w:val="22"/>
          <w:szCs w:val="22"/>
        </w:rPr>
        <w:t xml:space="preserve">Etiquetas normales: celeste (alto riesgo) y naranja, en 4 tamaños predefinidos + personalizado</w:t>
      </w:r>
    </w:p>
    <w:p>
      <w:pPr>
        <w:pStyle w:val="ListParagraph"/>
        <w:numPr>
          <w:ilvl w:val="0"/>
          <w:numId w:val="2"/>
        </w:numPr>
        <w:spacing w:after="60"/>
      </w:pPr>
      <w:r>
        <w:rPr>
          <w:rFonts w:ascii="Arial" w:cs="Arial" w:eastAsia="Arial" w:hAnsi="Arial"/>
          <w:sz w:val="22"/>
          <w:szCs w:val="22"/>
        </w:rPr>
        <w:t xml:space="preserve">Etiquetas LASA: Tall Man Lettering, banda naranja, indicador "confunde con"</w:t>
      </w:r>
    </w:p>
    <w:p>
      <w:pPr>
        <w:pStyle w:val="ListParagraph"/>
        <w:numPr>
          <w:ilvl w:val="0"/>
          <w:numId w:val="2"/>
        </w:numPr>
        <w:spacing w:after="60"/>
      </w:pPr>
      <w:r>
        <w:rPr>
          <w:rFonts w:ascii="Arial" w:cs="Arial" w:eastAsia="Arial" w:hAnsi="Arial"/>
          <w:sz w:val="22"/>
          <w:szCs w:val="22"/>
        </w:rPr>
        <w:t xml:space="preserve">Vista previa en tiempo real con autoescala</w:t>
      </w:r>
    </w:p>
    <w:p>
      <w:pPr>
        <w:spacing w:after="120"/>
      </w:pPr>
      <w:r>
        <w:t xml:space="preserve"/>
      </w:r>
    </w:p>
    <w:p>
      <w:r>
        <w:br w:type="page"/>
      </w:r>
    </w:p>
    <w:p>
      <w:pPr>
        <w:pStyle w:val="Heading1"/>
        <w:pBdr>
          <w:bottom w:val="single" w:color="1B4D91" w:sz="6" w:space="4"/>
        </w:pBdr>
        <w:spacing w:after="120" w:before="320"/>
      </w:pPr>
      <w:r>
        <w:rPr>
          <w:rFonts w:ascii="Arial" w:cs="Arial" w:eastAsia="Arial" w:hAnsi="Arial"/>
          <w:b/>
          <w:bCs/>
          <w:color w:val="0B2A5B"/>
          <w:sz w:val="32"/>
          <w:szCs w:val="32"/>
        </w:rPr>
        <w:t xml:space="preserve">3. Guía de Inicio Rápido</w:t>
      </w:r>
    </w:p>
    <w:p>
      <w:pPr>
        <w:pStyle w:val="Heading2"/>
        <w:spacing w:after="80" w:before="240"/>
      </w:pPr>
      <w:r>
        <w:rPr>
          <w:rFonts w:ascii="Arial" w:cs="Arial" w:eastAsia="Arial" w:hAnsi="Arial"/>
          <w:b/>
          <w:bCs/>
          <w:color w:val="1B4D91"/>
          <w:sz w:val="26"/>
          <w:szCs w:val="26"/>
        </w:rPr>
        <w:t xml:space="preserve">Acceso QF / Jefatura</w:t>
      </w:r>
    </w:p>
    <w:p>
      <w:pPr>
        <w:pStyle w:val="ListParagraph"/>
        <w:numPr>
          <w:ilvl w:val="0"/>
          <w:numId w:val="3"/>
        </w:numPr>
        <w:spacing w:after="60"/>
      </w:pPr>
      <w:r>
        <w:rPr>
          <w:rFonts w:ascii="Arial" w:cs="Arial" w:eastAsia="Arial" w:hAnsi="Arial"/>
          <w:sz w:val="22"/>
          <w:szCs w:val="22"/>
        </w:rPr>
        <w:t xml:space="preserve">Abrir Chrome o Edge en cualquier PC del hospital</w:t>
      </w:r>
    </w:p>
    <w:p>
      <w:pPr>
        <w:pStyle w:val="ListParagraph"/>
        <w:numPr>
          <w:ilvl w:val="0"/>
          <w:numId w:val="3"/>
        </w:numPr>
        <w:spacing w:after="60"/>
      </w:pPr>
      <w:r>
        <w:rPr>
          <w:rFonts w:ascii="Arial" w:cs="Arial" w:eastAsia="Arial" w:hAnsi="Arial"/>
          <w:sz w:val="22"/>
          <w:szCs w:val="22"/>
        </w:rPr>
        <w:t xml:space="preserve">Navegar a: hggb-farmacia.pages.dev</w:t>
      </w:r>
    </w:p>
    <w:p>
      <w:pPr>
        <w:pStyle w:val="ListParagraph"/>
        <w:numPr>
          <w:ilvl w:val="0"/>
          <w:numId w:val="3"/>
        </w:numPr>
        <w:spacing w:after="60"/>
      </w:pPr>
      <w:r>
        <w:rPr>
          <w:rFonts w:ascii="Arial" w:cs="Arial" w:eastAsia="Arial" w:hAnsi="Arial"/>
          <w:sz w:val="22"/>
          <w:szCs w:val="22"/>
        </w:rPr>
        <w:t xml:space="preserve">Seleccionar perfil: QF Farmacia, Bodega, Jefatura u otro según corresponda</w:t>
      </w:r>
    </w:p>
    <w:p>
      <w:pPr>
        <w:pStyle w:val="ListParagraph"/>
        <w:numPr>
          <w:ilvl w:val="0"/>
          <w:numId w:val="3"/>
        </w:numPr>
        <w:spacing w:after="60"/>
      </w:pPr>
      <w:r>
        <w:rPr>
          <w:rFonts w:ascii="Arial" w:cs="Arial" w:eastAsia="Arial" w:hAnsi="Arial"/>
          <w:sz w:val="22"/>
          <w:szCs w:val="22"/>
        </w:rPr>
        <w:t xml:space="preserve">La aplicación recuerda el último perfil usado</w:t>
      </w:r>
    </w:p>
    <w:p>
      <w:pPr>
        <w:spacing w:after="120"/>
      </w:pPr>
      <w:r>
        <w:t xml:space="preserve"/>
      </w:r>
    </w:p>
    <w:p>
      <w:pPr>
        <w:pStyle w:val="Heading2"/>
        <w:spacing w:after="80" w:before="240"/>
      </w:pPr>
      <w:r>
        <w:rPr>
          <w:rFonts w:ascii="Arial" w:cs="Arial" w:eastAsia="Arial" w:hAnsi="Arial"/>
          <w:b/>
          <w:bCs/>
          <w:color w:val="1B4D91"/>
          <w:sz w:val="26"/>
          <w:szCs w:val="26"/>
        </w:rPr>
        <w:t xml:space="preserve">Acceso TENS Sala (celular)</w:t>
      </w:r>
    </w:p>
    <w:p>
      <w:pPr>
        <w:pStyle w:val="ListParagraph"/>
        <w:numPr>
          <w:ilvl w:val="0"/>
          <w:numId w:val="3"/>
        </w:numPr>
        <w:spacing w:after="60"/>
      </w:pPr>
      <w:r>
        <w:rPr>
          <w:rFonts w:ascii="Arial" w:cs="Arial" w:eastAsia="Arial" w:hAnsi="Arial"/>
          <w:sz w:val="22"/>
          <w:szCs w:val="22"/>
        </w:rPr>
        <w:t xml:space="preserve">Abrir Chrome en el celular</w:t>
      </w:r>
    </w:p>
    <w:p>
      <w:pPr>
        <w:pStyle w:val="ListParagraph"/>
        <w:numPr>
          <w:ilvl w:val="0"/>
          <w:numId w:val="3"/>
        </w:numPr>
        <w:spacing w:after="60"/>
      </w:pPr>
      <w:r>
        <w:rPr>
          <w:rFonts w:ascii="Arial" w:cs="Arial" w:eastAsia="Arial" w:hAnsi="Arial"/>
          <w:sz w:val="22"/>
          <w:szCs w:val="22"/>
        </w:rPr>
        <w:t xml:space="preserve">Navegar a: hggb-farmacia.pages.dev/sala.html</w:t>
      </w:r>
    </w:p>
    <w:p>
      <w:pPr>
        <w:pStyle w:val="ListParagraph"/>
        <w:numPr>
          <w:ilvl w:val="0"/>
          <w:numId w:val="3"/>
        </w:numPr>
        <w:spacing w:after="60"/>
      </w:pPr>
      <w:r>
        <w:rPr>
          <w:rFonts w:ascii="Arial" w:cs="Arial" w:eastAsia="Arial" w:hAnsi="Arial"/>
          <w:sz w:val="22"/>
          <w:szCs w:val="22"/>
        </w:rPr>
        <w:t xml:space="preserve">Ingresar nombre completo y seleccionar farmacia</w:t>
      </w:r>
    </w:p>
    <w:p>
      <w:pPr>
        <w:pStyle w:val="ListParagraph"/>
        <w:numPr>
          <w:ilvl w:val="0"/>
          <w:numId w:val="3"/>
        </w:numPr>
        <w:spacing w:after="60"/>
      </w:pPr>
      <w:r>
        <w:rPr>
          <w:rFonts w:ascii="Arial" w:cs="Arial" w:eastAsia="Arial" w:hAnsi="Arial"/>
          <w:sz w:val="22"/>
          <w:szCs w:val="22"/>
        </w:rPr>
        <w:t xml:space="preserve">Elegir entre Reposición Normal o Dosis Unitaria</w:t>
      </w:r>
    </w:p>
    <w:p>
      <w:pPr>
        <w:pStyle w:val="ListParagraph"/>
        <w:numPr>
          <w:ilvl w:val="0"/>
          <w:numId w:val="3"/>
        </w:numPr>
        <w:spacing w:after="60"/>
      </w:pPr>
      <w:r>
        <w:rPr>
          <w:rFonts w:ascii="Arial" w:cs="Arial" w:eastAsia="Arial" w:hAnsi="Arial"/>
          <w:sz w:val="22"/>
          <w:szCs w:val="22"/>
        </w:rPr>
        <w:t xml:space="preserve">Marcar cantidades con los botones +/− o usando el sugerido (✨)</w:t>
      </w:r>
    </w:p>
    <w:p>
      <w:pPr>
        <w:pStyle w:val="ListParagraph"/>
        <w:numPr>
          <w:ilvl w:val="0"/>
          <w:numId w:val="3"/>
        </w:numPr>
        <w:spacing w:after="60"/>
      </w:pPr>
      <w:r>
        <w:rPr>
          <w:rFonts w:ascii="Arial" w:cs="Arial" w:eastAsia="Arial" w:hAnsi="Arial"/>
          <w:sz w:val="22"/>
          <w:szCs w:val="22"/>
        </w:rPr>
        <w:t xml:space="preserve">Tocar "Enviar solicitud" — el celular vibrará cuando sea despachada</w:t>
      </w:r>
    </w:p>
    <w:p>
      <w:pPr>
        <w:spacing w:after="100"/>
      </w:pPr>
      <w:r>
        <w:rPr>
          <w:rFonts w:ascii="Arial" w:cs="Arial" w:eastAsia="Arial" w:hAnsi="Arial"/>
          <w:b w:val="false"/>
          <w:bCs w:val="false"/>
          <w:i/>
          <w:iCs/>
          <w:color w:val="1A2233"/>
          <w:sz w:val="22"/>
          <w:szCs w:val="22"/>
        </w:rPr>
        <w:t xml:space="preserve">Recomendación: instalar como app desde el menú del navegador "Agregar a pantalla de inicio".</w:t>
      </w:r>
    </w:p>
    <w:p>
      <w:pPr>
        <w:spacing w:after="120"/>
      </w:pPr>
      <w:r>
        <w:t xml:space="preserve"/>
      </w:r>
    </w:p>
    <w:p>
      <w:pPr>
        <w:pStyle w:val="Heading2"/>
        <w:spacing w:after="80" w:before="240"/>
      </w:pPr>
      <w:r>
        <w:rPr>
          <w:rFonts w:ascii="Arial" w:cs="Arial" w:eastAsia="Arial" w:hAnsi="Arial"/>
          <w:b/>
          <w:bCs/>
          <w:color w:val="1B4D91"/>
          <w:sz w:val="26"/>
          <w:szCs w:val="26"/>
        </w:rPr>
        <w:t xml:space="preserve">Acceso TENS Bodega (celular)</w:t>
      </w:r>
    </w:p>
    <w:p>
      <w:pPr>
        <w:pStyle w:val="ListParagraph"/>
        <w:numPr>
          <w:ilvl w:val="0"/>
          <w:numId w:val="3"/>
        </w:numPr>
        <w:spacing w:after="60"/>
      </w:pPr>
      <w:r>
        <w:rPr>
          <w:rFonts w:ascii="Arial" w:cs="Arial" w:eastAsia="Arial" w:hAnsi="Arial"/>
          <w:sz w:val="22"/>
          <w:szCs w:val="22"/>
        </w:rPr>
        <w:t xml:space="preserve">Abrir Chrome en el celular</w:t>
      </w:r>
    </w:p>
    <w:p>
      <w:pPr>
        <w:pStyle w:val="ListParagraph"/>
        <w:numPr>
          <w:ilvl w:val="0"/>
          <w:numId w:val="3"/>
        </w:numPr>
        <w:spacing w:after="60"/>
      </w:pPr>
      <w:r>
        <w:rPr>
          <w:rFonts w:ascii="Arial" w:cs="Arial" w:eastAsia="Arial" w:hAnsi="Arial"/>
          <w:sz w:val="22"/>
          <w:szCs w:val="22"/>
        </w:rPr>
        <w:t xml:space="preserve">Navegar a: hggb-farmacia.pages.dev/bodega.html</w:t>
      </w:r>
    </w:p>
    <w:p>
      <w:pPr>
        <w:pStyle w:val="ListParagraph"/>
        <w:numPr>
          <w:ilvl w:val="0"/>
          <w:numId w:val="3"/>
        </w:numPr>
        <w:spacing w:after="60"/>
      </w:pPr>
      <w:r>
        <w:rPr>
          <w:rFonts w:ascii="Arial" w:cs="Arial" w:eastAsia="Arial" w:hAnsi="Arial"/>
          <w:sz w:val="22"/>
          <w:szCs w:val="22"/>
        </w:rPr>
        <w:t xml:space="preserve">Ingresar nombre y seleccionar farmacia</w:t>
      </w:r>
    </w:p>
    <w:p>
      <w:pPr>
        <w:pStyle w:val="ListParagraph"/>
        <w:numPr>
          <w:ilvl w:val="0"/>
          <w:numId w:val="3"/>
        </w:numPr>
        <w:spacing w:after="60"/>
      </w:pPr>
      <w:r>
        <w:rPr>
          <w:rFonts w:ascii="Arial" w:cs="Arial" w:eastAsia="Arial" w:hAnsi="Arial"/>
          <w:sz w:val="22"/>
          <w:szCs w:val="22"/>
        </w:rPr>
        <w:t xml:space="preserve">Las solicitudes pendientes aparecen en tiempo real</w:t>
      </w:r>
    </w:p>
    <w:p>
      <w:pPr>
        <w:pStyle w:val="ListParagraph"/>
        <w:numPr>
          <w:ilvl w:val="0"/>
          <w:numId w:val="3"/>
        </w:numPr>
        <w:spacing w:after="60"/>
      </w:pPr>
      <w:r>
        <w:rPr>
          <w:rFonts w:ascii="Arial" w:cs="Arial" w:eastAsia="Arial" w:hAnsi="Arial"/>
          <w:sz w:val="22"/>
          <w:szCs w:val="22"/>
        </w:rPr>
        <w:t xml:space="preserve">Tocar una card para ver los items y confirmar el despacho</w:t>
      </w:r>
    </w:p>
    <w:p>
      <w:pPr>
        <w:spacing w:after="120"/>
      </w:pPr>
      <w:r>
        <w:t xml:space="preserve"/>
      </w:r>
    </w:p>
    <w:p>
      <w:pPr>
        <w:pStyle w:val="Heading2"/>
        <w:spacing w:after="80" w:before="240"/>
      </w:pPr>
      <w:r>
        <w:rPr>
          <w:rFonts w:ascii="Arial" w:cs="Arial" w:eastAsia="Arial" w:hAnsi="Arial"/>
          <w:b/>
          <w:bCs/>
          <w:color w:val="1B4D91"/>
          <w:sz w:val="26"/>
          <w:szCs w:val="26"/>
        </w:rPr>
        <w:t xml:space="preserve">Flujo mensual recomendado</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00"/>
        <w:gridCol w:w="4500"/>
        <w:gridCol w:w="3460"/>
      </w:tblGrid>
      <w:tr>
        <w:trPr>
          <w:tblHeader/>
        </w:trPr>
        <w:tc>
          <w:tcPr>
            <w:tcW w:type="dxa" w:w="1400"/>
            <w:tcBorders>
              <w:top w:val="single" w:color="0B2A5B" w:sz="1"/>
              <w:left w:val="single" w:color="0B2A5B" w:sz="1"/>
              <w:bottom w:val="single" w:color="0B2A5B" w:sz="1"/>
              <w:right w:val="single" w:color="0B2A5B" w:sz="1"/>
            </w:tcBorders>
            <w:shd w:fill="0B2A5B" w:val="clear"/>
            <w:tcMar>
              <w:top w:type="dxa" w:w="80"/>
              <w:left w:type="dxa" w:w="120"/>
              <w:bottom w:type="dxa" w:w="80"/>
              <w:right w:type="dxa" w:w="120"/>
            </w:tcMar>
          </w:tcPr>
          <w:p>
            <w:r>
              <w:rPr>
                <w:rFonts w:ascii="Arial" w:cs="Arial" w:eastAsia="Arial" w:hAnsi="Arial"/>
                <w:b/>
                <w:bCs/>
                <w:color w:val="FFFFFF"/>
                <w:sz w:val="20"/>
                <w:szCs w:val="20"/>
              </w:rPr>
              <w:t xml:space="preserve">Semana</w:t>
            </w:r>
          </w:p>
        </w:tc>
        <w:tc>
          <w:tcPr>
            <w:tcW w:type="dxa" w:w="4500"/>
            <w:tcBorders>
              <w:top w:val="single" w:color="0B2A5B" w:sz="1"/>
              <w:left w:val="single" w:color="0B2A5B" w:sz="1"/>
              <w:bottom w:val="single" w:color="0B2A5B" w:sz="1"/>
              <w:right w:val="single" w:color="0B2A5B" w:sz="1"/>
            </w:tcBorders>
            <w:shd w:fill="0B2A5B" w:val="clear"/>
            <w:tcMar>
              <w:top w:type="dxa" w:w="80"/>
              <w:left w:type="dxa" w:w="120"/>
              <w:bottom w:type="dxa" w:w="80"/>
              <w:right w:type="dxa" w:w="120"/>
            </w:tcMar>
          </w:tcPr>
          <w:p>
            <w:r>
              <w:rPr>
                <w:rFonts w:ascii="Arial" w:cs="Arial" w:eastAsia="Arial" w:hAnsi="Arial"/>
                <w:b/>
                <w:bCs/>
                <w:color w:val="FFFFFF"/>
                <w:sz w:val="20"/>
                <w:szCs w:val="20"/>
              </w:rPr>
              <w:t xml:space="preserve">Actividad</w:t>
            </w:r>
          </w:p>
        </w:tc>
        <w:tc>
          <w:tcPr>
            <w:tcW w:type="dxa" w:w="3460"/>
            <w:tcBorders>
              <w:top w:val="single" w:color="0B2A5B" w:sz="1"/>
              <w:left w:val="single" w:color="0B2A5B" w:sz="1"/>
              <w:bottom w:val="single" w:color="0B2A5B" w:sz="1"/>
              <w:right w:val="single" w:color="0B2A5B" w:sz="1"/>
            </w:tcBorders>
            <w:shd w:fill="0B2A5B" w:val="clear"/>
            <w:tcMar>
              <w:top w:type="dxa" w:w="80"/>
              <w:left w:type="dxa" w:w="120"/>
              <w:bottom w:type="dxa" w:w="80"/>
              <w:right w:type="dxa" w:w="120"/>
            </w:tcMar>
          </w:tcPr>
          <w:p>
            <w:r>
              <w:rPr>
                <w:rFonts w:ascii="Arial" w:cs="Arial" w:eastAsia="Arial" w:hAnsi="Arial"/>
                <w:b/>
                <w:bCs/>
                <w:color w:val="FFFFFF"/>
                <w:sz w:val="20"/>
                <w:szCs w:val="20"/>
              </w:rPr>
              <w:t xml:space="preserve">Módulo</w:t>
            </w:r>
          </w:p>
        </w:tc>
      </w:tr>
      <w:tr>
        <w:tc>
          <w:tcPr>
            <w:tcW w:type="dxa" w:w="14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1-2</w:t>
            </w:r>
          </w:p>
        </w:tc>
        <w:tc>
          <w:tcPr>
            <w:tcW w:type="dxa" w:w="45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Cargar PAC y consumo SIRYC, rectificar programación</w:t>
            </w:r>
          </w:p>
        </w:tc>
        <w:tc>
          <w:tcPr>
            <w:tcW w:type="dxa" w:w="34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Programación Mensual</w:t>
            </w:r>
          </w:p>
        </w:tc>
      </w:tr>
      <w:tr>
        <w:tc>
          <w:tcPr>
            <w:tcW w:type="dxa" w:w="14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1-4</w:t>
            </w:r>
          </w:p>
        </w:tc>
        <w:tc>
          <w:tcPr>
            <w:tcW w:type="dxa" w:w="45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Generar pedidos semanales a Bodega General</w:t>
            </w:r>
          </w:p>
        </w:tc>
        <w:tc>
          <w:tcPr>
            <w:tcW w:type="dxa" w:w="346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Pedido a Bodega</w:t>
            </w:r>
          </w:p>
        </w:tc>
      </w:tr>
      <w:tr>
        <w:tc>
          <w:tcPr>
            <w:tcW w:type="dxa" w:w="14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Diario</w:t>
            </w:r>
          </w:p>
        </w:tc>
        <w:tc>
          <w:tcPr>
            <w:tcW w:type="dxa" w:w="45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TENS solicita reposición, TENS bodega despacha</w:t>
            </w:r>
          </w:p>
        </w:tc>
        <w:tc>
          <w:tcPr>
            <w:tcW w:type="dxa" w:w="34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Sala / Bodega</w:t>
            </w:r>
          </w:p>
        </w:tc>
      </w:tr>
      <w:tr>
        <w:tc>
          <w:tcPr>
            <w:tcW w:type="dxa" w:w="14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Semanal</w:t>
            </w:r>
          </w:p>
        </w:tc>
        <w:tc>
          <w:tcPr>
            <w:tcW w:type="dxa" w:w="45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Revisar vencimientos próximos, redistribuir si corresponde</w:t>
            </w:r>
          </w:p>
        </w:tc>
        <w:tc>
          <w:tcPr>
            <w:tcW w:type="dxa" w:w="346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Vencimientos</w:t>
            </w:r>
          </w:p>
        </w:tc>
      </w:tr>
      <w:tr>
        <w:tc>
          <w:tcPr>
            <w:tcW w:type="dxa" w:w="14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Fin de mes</w:t>
            </w:r>
          </w:p>
        </w:tc>
        <w:tc>
          <w:tcPr>
            <w:tcW w:type="dxa" w:w="45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Cerrar período programación con firma QF</w:t>
            </w:r>
          </w:p>
        </w:tc>
        <w:tc>
          <w:tcPr>
            <w:tcW w:type="dxa" w:w="34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Programación Mensual</w:t>
            </w:r>
          </w:p>
        </w:tc>
      </w:tr>
      <w:tr>
        <w:tc>
          <w:tcPr>
            <w:tcW w:type="dxa" w:w="14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Según necesidad</w:t>
            </w:r>
          </w:p>
        </w:tc>
        <w:tc>
          <w:tcPr>
            <w:tcW w:type="dxa" w:w="45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Traspasos y préstamos entre farmacias</w:t>
            </w:r>
          </w:p>
        </w:tc>
        <w:tc>
          <w:tcPr>
            <w:tcW w:type="dxa" w:w="346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Traspasos</w:t>
            </w:r>
          </w:p>
        </w:tc>
      </w:tr>
    </w:tbl>
    <w:p>
      <w:pPr>
        <w:spacing w:after="120"/>
      </w:pPr>
      <w:r>
        <w:t xml:space="preserve"/>
      </w:r>
    </w:p>
    <w:p>
      <w:r>
        <w:br w:type="page"/>
      </w:r>
    </w:p>
    <w:p>
      <w:pPr>
        <w:pStyle w:val="Heading1"/>
        <w:pBdr>
          <w:bottom w:val="single" w:color="1B4D91" w:sz="6" w:space="4"/>
        </w:pBdr>
        <w:spacing w:after="120" w:before="320"/>
      </w:pPr>
      <w:r>
        <w:rPr>
          <w:rFonts w:ascii="Arial" w:cs="Arial" w:eastAsia="Arial" w:hAnsi="Arial"/>
          <w:b/>
          <w:bCs/>
          <w:color w:val="0B2A5B"/>
          <w:sz w:val="32"/>
          <w:szCs w:val="32"/>
        </w:rPr>
        <w:t xml:space="preserve">4. Arquitectura Técnica</w:t>
      </w:r>
    </w:p>
    <w:p>
      <w:pPr>
        <w:spacing w:after="100"/>
      </w:pPr>
      <w:r>
        <w:rPr>
          <w:rFonts w:ascii="Arial" w:cs="Arial" w:eastAsia="Arial" w:hAnsi="Arial"/>
          <w:b w:val="false"/>
          <w:bCs w:val="false"/>
          <w:i w:val="false"/>
          <w:iCs w:val="false"/>
          <w:color w:val="1A2233"/>
          <w:sz w:val="22"/>
          <w:szCs w:val="22"/>
        </w:rPr>
        <w:t xml:space="preserve">Este apartado es de referencia para el equipo de TI del hospital.</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800"/>
        <w:gridCol w:w="4760"/>
      </w:tblGrid>
      <w:tr>
        <w:trPr>
          <w:tblHeader/>
        </w:trPr>
        <w:tc>
          <w:tcPr>
            <w:tcW w:type="dxa" w:w="1800"/>
            <w:tcBorders>
              <w:top w:val="single" w:color="0B2A5B" w:sz="1"/>
              <w:left w:val="single" w:color="0B2A5B" w:sz="1"/>
              <w:bottom w:val="single" w:color="0B2A5B" w:sz="1"/>
              <w:right w:val="single" w:color="0B2A5B" w:sz="1"/>
            </w:tcBorders>
            <w:shd w:fill="0B2A5B" w:val="clear"/>
            <w:tcMar>
              <w:top w:type="dxa" w:w="80"/>
              <w:left w:type="dxa" w:w="120"/>
              <w:bottom w:type="dxa" w:w="80"/>
              <w:right w:type="dxa" w:w="120"/>
            </w:tcMar>
          </w:tcPr>
          <w:p>
            <w:r>
              <w:rPr>
                <w:rFonts w:ascii="Arial" w:cs="Arial" w:eastAsia="Arial" w:hAnsi="Arial"/>
                <w:b/>
                <w:bCs/>
                <w:color w:val="FFFFFF"/>
                <w:sz w:val="20"/>
                <w:szCs w:val="20"/>
              </w:rPr>
              <w:t xml:space="preserve">Componente</w:t>
            </w:r>
          </w:p>
        </w:tc>
        <w:tc>
          <w:tcPr>
            <w:tcW w:type="dxa" w:w="2800"/>
            <w:tcBorders>
              <w:top w:val="single" w:color="0B2A5B" w:sz="1"/>
              <w:left w:val="single" w:color="0B2A5B" w:sz="1"/>
              <w:bottom w:val="single" w:color="0B2A5B" w:sz="1"/>
              <w:right w:val="single" w:color="0B2A5B" w:sz="1"/>
            </w:tcBorders>
            <w:shd w:fill="0B2A5B" w:val="clear"/>
            <w:tcMar>
              <w:top w:type="dxa" w:w="80"/>
              <w:left w:type="dxa" w:w="120"/>
              <w:bottom w:type="dxa" w:w="80"/>
              <w:right w:type="dxa" w:w="120"/>
            </w:tcMar>
          </w:tcPr>
          <w:p>
            <w:r>
              <w:rPr>
                <w:rFonts w:ascii="Arial" w:cs="Arial" w:eastAsia="Arial" w:hAnsi="Arial"/>
                <w:b/>
                <w:bCs/>
                <w:color w:val="FFFFFF"/>
                <w:sz w:val="20"/>
                <w:szCs w:val="20"/>
              </w:rPr>
              <w:t xml:space="preserve">Tecnología</w:t>
            </w:r>
          </w:p>
        </w:tc>
        <w:tc>
          <w:tcPr>
            <w:tcW w:type="dxa" w:w="4760"/>
            <w:tcBorders>
              <w:top w:val="single" w:color="0B2A5B" w:sz="1"/>
              <w:left w:val="single" w:color="0B2A5B" w:sz="1"/>
              <w:bottom w:val="single" w:color="0B2A5B" w:sz="1"/>
              <w:right w:val="single" w:color="0B2A5B" w:sz="1"/>
            </w:tcBorders>
            <w:shd w:fill="0B2A5B" w:val="clear"/>
            <w:tcMar>
              <w:top w:type="dxa" w:w="80"/>
              <w:left w:type="dxa" w:w="120"/>
              <w:bottom w:type="dxa" w:w="80"/>
              <w:right w:type="dxa" w:w="120"/>
            </w:tcMar>
          </w:tcPr>
          <w:p>
            <w:r>
              <w:rPr>
                <w:rFonts w:ascii="Arial" w:cs="Arial" w:eastAsia="Arial" w:hAnsi="Arial"/>
                <w:b/>
                <w:bCs/>
                <w:color w:val="FFFFFF"/>
                <w:sz w:val="20"/>
                <w:szCs w:val="20"/>
              </w:rPr>
              <w:t xml:space="preserve">Detalle</w:t>
            </w:r>
          </w:p>
        </w:tc>
      </w:tr>
      <w:tr>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Frontend</w:t>
            </w:r>
          </w:p>
        </w:tc>
        <w:tc>
          <w:tcPr>
            <w:tcW w:type="dxa" w:w="2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HTML / CSS / JavaScript puro</w:t>
            </w:r>
          </w:p>
        </w:tc>
        <w:tc>
          <w:tcPr>
            <w:tcW w:type="dxa" w:w="47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Sin frameworks. Compatible IE Edge antiguo.</w:t>
            </w:r>
          </w:p>
        </w:tc>
      </w:tr>
      <w:tr>
        <w:tc>
          <w:tcPr>
            <w:tcW w:type="dxa" w:w="18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Backend</w:t>
            </w:r>
          </w:p>
        </w:tc>
        <w:tc>
          <w:tcPr>
            <w:tcW w:type="dxa" w:w="28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Supabase (PostgreSQL)</w:t>
            </w:r>
          </w:p>
        </w:tc>
        <w:tc>
          <w:tcPr>
            <w:tcW w:type="dxa" w:w="476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nzorligpkulccozvlteo.supabase.co</w:t>
            </w:r>
          </w:p>
        </w:tc>
      </w:tr>
      <w:tr>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Deploy</w:t>
            </w:r>
          </w:p>
        </w:tc>
        <w:tc>
          <w:tcPr>
            <w:tcW w:type="dxa" w:w="2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Cloudflare Pages</w:t>
            </w:r>
          </w:p>
        </w:tc>
        <w:tc>
          <w:tcPr>
            <w:tcW w:type="dxa" w:w="47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hggb-farmacia.pages.dev (subida por ZIP)</w:t>
            </w:r>
          </w:p>
        </w:tc>
      </w:tr>
      <w:tr>
        <w:tc>
          <w:tcPr>
            <w:tcW w:type="dxa" w:w="18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Offline</w:t>
            </w:r>
          </w:p>
        </w:tc>
        <w:tc>
          <w:tcPr>
            <w:tcW w:type="dxa" w:w="28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PWA + localStorage</w:t>
            </w:r>
          </w:p>
        </w:tc>
        <w:tc>
          <w:tcPr>
            <w:tcW w:type="dxa" w:w="476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Cache de datos + cola de solicitudes offline</w:t>
            </w:r>
          </w:p>
        </w:tc>
      </w:tr>
      <w:tr>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Tiempo real</w:t>
            </w:r>
          </w:p>
        </w:tc>
        <w:tc>
          <w:tcPr>
            <w:tcW w:type="dxa" w:w="2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Polling 20s</w:t>
            </w:r>
          </w:p>
        </w:tc>
        <w:tc>
          <w:tcPr>
            <w:tcW w:type="dxa" w:w="47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Notificaciones despacho sin WebSocket</w:t>
            </w:r>
          </w:p>
        </w:tc>
      </w:tr>
      <w:tr>
        <w:tc>
          <w:tcPr>
            <w:tcW w:type="dxa" w:w="18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Compatibilidad</w:t>
            </w:r>
          </w:p>
        </w:tc>
        <w:tc>
          <w:tcPr>
            <w:tcW w:type="dxa" w:w="28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Windows 7 + Chrome/Edge antiguo</w:t>
            </w:r>
          </w:p>
        </w:tc>
        <w:tc>
          <w:tcPr>
            <w:tcW w:type="dxa" w:w="476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Sin optional chaining, sin backdrop-filter</w:t>
            </w:r>
          </w:p>
        </w:tc>
      </w:tr>
    </w:tbl>
    <w:p>
      <w:pPr>
        <w:spacing w:after="120"/>
      </w:pPr>
      <w:r>
        <w:t xml:space="preserve"/>
      </w:r>
    </w:p>
    <w:p>
      <w:pPr>
        <w:pStyle w:val="Heading2"/>
        <w:spacing w:after="80" w:before="240"/>
      </w:pPr>
      <w:r>
        <w:rPr>
          <w:rFonts w:ascii="Arial" w:cs="Arial" w:eastAsia="Arial" w:hAnsi="Arial"/>
          <w:b/>
          <w:bCs/>
          <w:color w:val="1B4D91"/>
          <w:sz w:val="26"/>
          <w:szCs w:val="26"/>
        </w:rPr>
        <w:t xml:space="preserve">URLs del sistema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800"/>
        <w:gridCol w:w="2200"/>
        <w:gridCol w:w="3360"/>
      </w:tblGrid>
      <w:tr>
        <w:trPr>
          <w:tblHeader/>
        </w:trPr>
        <w:tc>
          <w:tcPr>
            <w:tcW w:type="dxa" w:w="3800"/>
            <w:tcBorders>
              <w:top w:val="single" w:color="0B2A5B" w:sz="1"/>
              <w:left w:val="single" w:color="0B2A5B" w:sz="1"/>
              <w:bottom w:val="single" w:color="0B2A5B" w:sz="1"/>
              <w:right w:val="single" w:color="0B2A5B" w:sz="1"/>
            </w:tcBorders>
            <w:shd w:fill="0B2A5B" w:val="clear"/>
            <w:tcMar>
              <w:top w:type="dxa" w:w="80"/>
              <w:left w:type="dxa" w:w="120"/>
              <w:bottom w:type="dxa" w:w="80"/>
              <w:right w:type="dxa" w:w="120"/>
            </w:tcMar>
          </w:tcPr>
          <w:p>
            <w:r>
              <w:rPr>
                <w:rFonts w:ascii="Arial" w:cs="Arial" w:eastAsia="Arial" w:hAnsi="Arial"/>
                <w:b/>
                <w:bCs/>
                <w:color w:val="FFFFFF"/>
                <w:sz w:val="20"/>
                <w:szCs w:val="20"/>
              </w:rPr>
              <w:t xml:space="preserve">URL</w:t>
            </w:r>
          </w:p>
        </w:tc>
        <w:tc>
          <w:tcPr>
            <w:tcW w:type="dxa" w:w="2200"/>
            <w:tcBorders>
              <w:top w:val="single" w:color="0B2A5B" w:sz="1"/>
              <w:left w:val="single" w:color="0B2A5B" w:sz="1"/>
              <w:bottom w:val="single" w:color="0B2A5B" w:sz="1"/>
              <w:right w:val="single" w:color="0B2A5B" w:sz="1"/>
            </w:tcBorders>
            <w:shd w:fill="0B2A5B" w:val="clear"/>
            <w:tcMar>
              <w:top w:type="dxa" w:w="80"/>
              <w:left w:type="dxa" w:w="120"/>
              <w:bottom w:type="dxa" w:w="80"/>
              <w:right w:type="dxa" w:w="120"/>
            </w:tcMar>
          </w:tcPr>
          <w:p>
            <w:r>
              <w:rPr>
                <w:rFonts w:ascii="Arial" w:cs="Arial" w:eastAsia="Arial" w:hAnsi="Arial"/>
                <w:b/>
                <w:bCs/>
                <w:color w:val="FFFFFF"/>
                <w:sz w:val="20"/>
                <w:szCs w:val="20"/>
              </w:rPr>
              <w:t xml:space="preserve">Módulo</w:t>
            </w:r>
          </w:p>
        </w:tc>
        <w:tc>
          <w:tcPr>
            <w:tcW w:type="dxa" w:w="3360"/>
            <w:tcBorders>
              <w:top w:val="single" w:color="0B2A5B" w:sz="1"/>
              <w:left w:val="single" w:color="0B2A5B" w:sz="1"/>
              <w:bottom w:val="single" w:color="0B2A5B" w:sz="1"/>
              <w:right w:val="single" w:color="0B2A5B" w:sz="1"/>
            </w:tcBorders>
            <w:shd w:fill="0B2A5B" w:val="clear"/>
            <w:tcMar>
              <w:top w:type="dxa" w:w="80"/>
              <w:left w:type="dxa" w:w="120"/>
              <w:bottom w:type="dxa" w:w="80"/>
              <w:right w:type="dxa" w:w="120"/>
            </w:tcMar>
          </w:tcPr>
          <w:p>
            <w:r>
              <w:rPr>
                <w:rFonts w:ascii="Arial" w:cs="Arial" w:eastAsia="Arial" w:hAnsi="Arial"/>
                <w:b/>
                <w:bCs/>
                <w:color w:val="FFFFFF"/>
                <w:sz w:val="20"/>
                <w:szCs w:val="20"/>
              </w:rPr>
              <w:t xml:space="preserve">Usuarios</w:t>
            </w:r>
          </w:p>
        </w:tc>
      </w:tr>
      <w:tr>
        <w:tc>
          <w:tcPr>
            <w:tcW w:type="dxa" w:w="3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hggb-farmacia.pages.dev</w:t>
            </w:r>
          </w:p>
        </w:tc>
        <w:tc>
          <w:tcPr>
            <w:tcW w:type="dxa" w:w="22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App principal</w:t>
            </w:r>
          </w:p>
        </w:tc>
        <w:tc>
          <w:tcPr>
            <w:tcW w:type="dxa" w:w="33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QF, Jefatura</w:t>
            </w:r>
          </w:p>
        </w:tc>
      </w:tr>
      <w:tr>
        <w:tc>
          <w:tcPr>
            <w:tcW w:type="dxa" w:w="38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hggb-farmacia.pages.dev/sala.html</w:t>
            </w:r>
          </w:p>
        </w:tc>
        <w:tc>
          <w:tcPr>
            <w:tcW w:type="dxa" w:w="22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Reposición Sala</w:t>
            </w:r>
          </w:p>
        </w:tc>
        <w:tc>
          <w:tcPr>
            <w:tcW w:type="dxa" w:w="336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TENS Sala</w:t>
            </w:r>
          </w:p>
        </w:tc>
      </w:tr>
      <w:tr>
        <w:tc>
          <w:tcPr>
            <w:tcW w:type="dxa" w:w="3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hggb-farmacia.pages.dev/bodega.html</w:t>
            </w:r>
          </w:p>
        </w:tc>
        <w:tc>
          <w:tcPr>
            <w:tcW w:type="dxa" w:w="22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Despacho Bodega</w:t>
            </w:r>
          </w:p>
        </w:tc>
        <w:tc>
          <w:tcPr>
            <w:tcW w:type="dxa" w:w="33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TENS Bodega</w:t>
            </w:r>
          </w:p>
        </w:tc>
      </w:tr>
      <w:tr>
        <w:tc>
          <w:tcPr>
            <w:tcW w:type="dxa" w:w="38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hggb-farmacia.pages.dev/traspasos.html</w:t>
            </w:r>
          </w:p>
        </w:tc>
        <w:tc>
          <w:tcPr>
            <w:tcW w:type="dxa" w:w="22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Traspasos</w:t>
            </w:r>
          </w:p>
        </w:tc>
        <w:tc>
          <w:tcPr>
            <w:tcW w:type="dxa" w:w="336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Todos los QF hospital</w:t>
            </w:r>
          </w:p>
        </w:tc>
      </w:tr>
      <w:tr>
        <w:tc>
          <w:tcPr>
            <w:tcW w:type="dxa" w:w="3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hggb-farmacia.pages.dev/vencimientos.html</w:t>
            </w:r>
          </w:p>
        </w:tc>
        <w:tc>
          <w:tcPr>
            <w:tcW w:type="dxa" w:w="22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Vencimientos</w:t>
            </w:r>
          </w:p>
        </w:tc>
        <w:tc>
          <w:tcPr>
            <w:tcW w:type="dxa" w:w="33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QF, Jefatura</w:t>
            </w:r>
          </w:p>
        </w:tc>
      </w:tr>
      <w:tr>
        <w:tc>
          <w:tcPr>
            <w:tcW w:type="dxa" w:w="38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hggb-farmacia.pages.dev/etiquetas.html</w:t>
            </w:r>
          </w:p>
        </w:tc>
        <w:tc>
          <w:tcPr>
            <w:tcW w:type="dxa" w:w="22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Etiquetas</w:t>
            </w:r>
          </w:p>
        </w:tc>
        <w:tc>
          <w:tcPr>
            <w:tcW w:type="dxa" w:w="336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QF, TENS</w:t>
            </w:r>
          </w:p>
        </w:tc>
      </w:tr>
      <w:tr>
        <w:tc>
          <w:tcPr>
            <w:tcW w:type="dxa" w:w="3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hggb-farmacia.pages.dev/bincard.html</w:t>
            </w:r>
          </w:p>
        </w:tc>
        <w:tc>
          <w:tcPr>
            <w:tcW w:type="dxa" w:w="22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Bincard Digital</w:t>
            </w:r>
          </w:p>
        </w:tc>
        <w:tc>
          <w:tcPr>
            <w:tcW w:type="dxa" w:w="33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rFonts w:ascii="Arial" w:cs="Arial" w:eastAsia="Arial" w:hAnsi="Arial"/>
                <w:sz w:val="20"/>
                <w:szCs w:val="20"/>
              </w:rPr>
              <w:t xml:space="preserve">QF Bodega</w:t>
            </w:r>
          </w:p>
        </w:tc>
      </w:tr>
      <w:tr>
        <w:tc>
          <w:tcPr>
            <w:tcW w:type="dxa" w:w="38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hggb-farmacia.pages.dev/reenvasado.html</w:t>
            </w:r>
          </w:p>
        </w:tc>
        <w:tc>
          <w:tcPr>
            <w:tcW w:type="dxa" w:w="220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Reenvasado DU</w:t>
            </w:r>
          </w:p>
        </w:tc>
        <w:tc>
          <w:tcPr>
            <w:tcW w:type="dxa" w:w="3360"/>
            <w:tcBorders>
              <w:top w:val="single" w:color="CCCCCC" w:sz="1"/>
              <w:left w:val="single" w:color="CCCCCC" w:sz="1"/>
              <w:bottom w:val="single" w:color="CCCCCC" w:sz="1"/>
              <w:right w:val="single" w:color="CCCCCC" w:sz="1"/>
            </w:tcBorders>
            <w:shd w:fill="F0F4FA" w:val="clear"/>
            <w:tcMar>
              <w:top w:type="dxa" w:w="60"/>
              <w:left w:type="dxa" w:w="120"/>
              <w:bottom w:type="dxa" w:w="60"/>
              <w:right w:type="dxa" w:w="120"/>
            </w:tcMar>
          </w:tcPr>
          <w:p>
            <w:r>
              <w:rPr>
                <w:rFonts w:ascii="Arial" w:cs="Arial" w:eastAsia="Arial" w:hAnsi="Arial"/>
                <w:sz w:val="20"/>
                <w:szCs w:val="20"/>
              </w:rPr>
              <w:t xml:space="preserve">QF Bodega</w:t>
            </w:r>
          </w:p>
        </w:tc>
      </w:tr>
    </w:tbl>
    <w:p>
      <w:pPr>
        <w:spacing w:after="120"/>
      </w:pPr>
      <w:r>
        <w:t xml:space="preserve"/>
      </w:r>
    </w:p>
    <w:p>
      <w:r>
        <w:br w:type="page"/>
      </w:r>
    </w:p>
    <w:p>
      <w:pPr>
        <w:pStyle w:val="Heading1"/>
        <w:pBdr>
          <w:bottom w:val="single" w:color="1B4D91" w:sz="6" w:space="4"/>
        </w:pBdr>
        <w:spacing w:after="120" w:before="320"/>
      </w:pPr>
      <w:r>
        <w:rPr>
          <w:rFonts w:ascii="Arial" w:cs="Arial" w:eastAsia="Arial" w:hAnsi="Arial"/>
          <w:b/>
          <w:bCs/>
          <w:color w:val="0B2A5B"/>
          <w:sz w:val="32"/>
          <w:szCs w:val="32"/>
        </w:rPr>
        <w:t xml:space="preserve">5. Preguntas Frecuentes</w:t>
      </w:r>
    </w:p>
    <w:p>
      <w:pPr>
        <w:pStyle w:val="Heading2"/>
        <w:spacing w:after="80" w:before="240"/>
      </w:pPr>
      <w:r>
        <w:rPr>
          <w:rFonts w:ascii="Arial" w:cs="Arial" w:eastAsia="Arial" w:hAnsi="Arial"/>
          <w:b/>
          <w:bCs/>
          <w:color w:val="1B4D91"/>
          <w:sz w:val="26"/>
          <w:szCs w:val="26"/>
        </w:rPr>
        <w:t xml:space="preserve">¿Qué pasa si no hay WiFi en la farmacia?</w:t>
      </w:r>
    </w:p>
    <w:p>
      <w:pPr>
        <w:spacing w:after="100"/>
      </w:pPr>
      <w:r>
        <w:rPr>
          <w:rFonts w:ascii="Arial" w:cs="Arial" w:eastAsia="Arial" w:hAnsi="Arial"/>
          <w:b w:val="false"/>
          <w:bCs w:val="false"/>
          <w:i w:val="false"/>
          <w:iCs w:val="false"/>
          <w:color w:val="1A2233"/>
          <w:sz w:val="22"/>
          <w:szCs w:val="22"/>
        </w:rPr>
        <w:t xml:space="preserve">El sistema funciona en modo offline. El TENS puede ver la lista de medicamentos (datos de la última carga) y enviar solicitudes. Las solicitudes se guardan localmente y se envían automáticamente cuando vuelve la conexión.</w:t>
      </w:r>
    </w:p>
    <w:p>
      <w:pPr>
        <w:spacing w:after="120"/>
      </w:pPr>
      <w:r>
        <w:t xml:space="preserve"/>
      </w:r>
    </w:p>
    <w:p>
      <w:pPr>
        <w:pStyle w:val="Heading2"/>
        <w:spacing w:after="80" w:before="240"/>
      </w:pPr>
      <w:r>
        <w:rPr>
          <w:rFonts w:ascii="Arial" w:cs="Arial" w:eastAsia="Arial" w:hAnsi="Arial"/>
          <w:b/>
          <w:bCs/>
          <w:color w:val="1B4D91"/>
          <w:sz w:val="26"/>
          <w:szCs w:val="26"/>
        </w:rPr>
        <w:t xml:space="preserve">¿Cómo se actualiza la aplicación?</w:t>
      </w:r>
    </w:p>
    <w:p>
      <w:pPr>
        <w:spacing w:after="100"/>
      </w:pPr>
      <w:r>
        <w:rPr>
          <w:rFonts w:ascii="Arial" w:cs="Arial" w:eastAsia="Arial" w:hAnsi="Arial"/>
          <w:b w:val="false"/>
          <w:bCs w:val="false"/>
          <w:i w:val="false"/>
          <w:iCs w:val="false"/>
          <w:color w:val="1A2233"/>
          <w:sz w:val="22"/>
          <w:szCs w:val="22"/>
        </w:rPr>
        <w:t xml:space="preserve">Las actualizaciones se despliegan automáticamente al subir una nueva versión a Cloudflare Pages. No requiere instalación en los equipos del hospital. En algunos casos, si el navegador caché la versión anterior, basta con presionar Ctrl+Shift+R (recarga forzada).</w:t>
      </w:r>
    </w:p>
    <w:p>
      <w:pPr>
        <w:spacing w:after="120"/>
      </w:pPr>
      <w:r>
        <w:t xml:space="preserve"/>
      </w:r>
    </w:p>
    <w:p>
      <w:pPr>
        <w:pStyle w:val="Heading2"/>
        <w:spacing w:after="80" w:before="240"/>
      </w:pPr>
      <w:r>
        <w:rPr>
          <w:rFonts w:ascii="Arial" w:cs="Arial" w:eastAsia="Arial" w:hAnsi="Arial"/>
          <w:b/>
          <w:bCs/>
          <w:color w:val="1B4D91"/>
          <w:sz w:val="26"/>
          <w:szCs w:val="26"/>
        </w:rPr>
        <w:t xml:space="preserve">¿Se pueden perder los datos?</w:t>
      </w:r>
    </w:p>
    <w:p>
      <w:pPr>
        <w:spacing w:after="100"/>
      </w:pPr>
      <w:r>
        <w:rPr>
          <w:rFonts w:ascii="Arial" w:cs="Arial" w:eastAsia="Arial" w:hAnsi="Arial"/>
          <w:b w:val="false"/>
          <w:bCs w:val="false"/>
          <w:i w:val="false"/>
          <w:iCs w:val="false"/>
          <w:color w:val="1A2233"/>
          <w:sz w:val="22"/>
          <w:szCs w:val="22"/>
        </w:rPr>
        <w:t xml:space="preserve">Los datos de programación, bincards y solicitudes se sincronizan con Supabase (base de datos en la nube). Adicionalmente, cada equipo mantiene una copia local en el navegador. La pérdida de datos requiere un fallo simultáneo de ambas copias, lo que es extremadamente improbable.</w:t>
      </w:r>
    </w:p>
    <w:p>
      <w:pPr>
        <w:spacing w:after="120"/>
      </w:pPr>
      <w:r>
        <w:t xml:space="preserve"/>
      </w:r>
    </w:p>
    <w:p>
      <w:pPr>
        <w:pStyle w:val="Heading2"/>
        <w:spacing w:after="80" w:before="240"/>
      </w:pPr>
      <w:r>
        <w:rPr>
          <w:rFonts w:ascii="Arial" w:cs="Arial" w:eastAsia="Arial" w:hAnsi="Arial"/>
          <w:b/>
          <w:bCs/>
          <w:color w:val="1B4D91"/>
          <w:sz w:val="26"/>
          <w:szCs w:val="26"/>
        </w:rPr>
        <w:t xml:space="preserve">¿Cómo se cierra un período de programación?</w:t>
      </w:r>
    </w:p>
    <w:p>
      <w:pPr>
        <w:spacing w:after="100"/>
      </w:pPr>
      <w:r>
        <w:rPr>
          <w:rFonts w:ascii="Arial" w:cs="Arial" w:eastAsia="Arial" w:hAnsi="Arial"/>
          <w:b w:val="false"/>
          <w:bCs w:val="false"/>
          <w:i w:val="false"/>
          <w:iCs w:val="false"/>
          <w:color w:val="1A2233"/>
          <w:sz w:val="22"/>
          <w:szCs w:val="22"/>
        </w:rPr>
        <w:t xml:space="preserve">En el módulo Programación Mensual, al completar las rectificaciones, el QF presiona "Cerrar Rectificación", ingresa su nombre como firma y confirma. El período queda inmutable. Para reabrirlo se requiere el PIN de autorización (gestionado por el QF a cargo).</w:t>
      </w:r>
    </w:p>
    <w:p>
      <w:pPr>
        <w:spacing w:after="120"/>
      </w:pPr>
      <w:r>
        <w:t xml:space="preserve"/>
      </w:r>
    </w:p>
    <w:p>
      <w:pPr>
        <w:pStyle w:val="Heading2"/>
        <w:spacing w:after="80" w:before="240"/>
      </w:pPr>
      <w:r>
        <w:rPr>
          <w:rFonts w:ascii="Arial" w:cs="Arial" w:eastAsia="Arial" w:hAnsi="Arial"/>
          <w:b/>
          <w:bCs/>
          <w:color w:val="1B4D91"/>
          <w:sz w:val="26"/>
          <w:szCs w:val="26"/>
        </w:rPr>
        <w:t xml:space="preserve">¿Cómo se clasifica VED y ABC?</w:t>
      </w:r>
    </w:p>
    <w:p>
      <w:pPr>
        <w:spacing w:after="100"/>
      </w:pPr>
      <w:r>
        <w:rPr>
          <w:rFonts w:ascii="Arial" w:cs="Arial" w:eastAsia="Arial" w:hAnsi="Arial"/>
          <w:b w:val="false"/>
          <w:bCs w:val="false"/>
          <w:i w:val="false"/>
          <w:iCs w:val="false"/>
          <w:color w:val="1A2233"/>
          <w:sz w:val="22"/>
          <w:szCs w:val="22"/>
        </w:rPr>
        <w:t xml:space="preserve">La clasificación ABC se calcula automáticamente desde el CMD y el precio de cada medicamento. La clasificación VED viene pre-cargada para los 1.598 medicamentos del arsenal usando criterios farmacológicos estandarizados, y puede ser editada por el QF directamente en la tabla de programación o en el tab "Análisis ABC".</w:t>
      </w:r>
    </w:p>
    <w:p>
      <w:pPr>
        <w:spacing w:after="120"/>
      </w:pPr>
      <w:r>
        <w:t xml:space="preserve"/>
      </w:r>
    </w:p>
    <w:p>
      <w:pPr>
        <w:pStyle w:val="Heading2"/>
        <w:spacing w:after="80" w:before="240"/>
      </w:pPr>
      <w:r>
        <w:rPr>
          <w:rFonts w:ascii="Arial" w:cs="Arial" w:eastAsia="Arial" w:hAnsi="Arial"/>
          <w:b/>
          <w:bCs/>
          <w:color w:val="1B4D91"/>
          <w:sz w:val="26"/>
          <w:szCs w:val="26"/>
        </w:rPr>
        <w:t xml:space="preserve">¿Puedo usar el sistema desde mi celular personal?</w:t>
      </w:r>
    </w:p>
    <w:p>
      <w:pPr>
        <w:spacing w:after="100"/>
      </w:pPr>
      <w:r>
        <w:rPr>
          <w:rFonts w:ascii="Arial" w:cs="Arial" w:eastAsia="Arial" w:hAnsi="Arial"/>
          <w:b w:val="false"/>
          <w:bCs w:val="false"/>
          <w:i w:val="false"/>
          <w:iCs w:val="false"/>
          <w:color w:val="1A2233"/>
          <w:sz w:val="22"/>
          <w:szCs w:val="22"/>
        </w:rPr>
        <w:t xml:space="preserve">Sí. El sistema es responsive y funciona en cualquier dispositivo con Chrome o Safari. Se puede instalar como aplicación en la pantalla de inicio desde el menú del navegador.</w:t>
      </w:r>
    </w:p>
    <w:p>
      <w:pPr>
        <w:spacing w:after="120"/>
      </w:pPr>
      <w:r>
        <w:t xml:space="preserve"/>
      </w:r>
    </w:p>
    <w:p>
      <w:pPr>
        <w:spacing w:after="120"/>
      </w:pPr>
      <w:r>
        <w:t xml:space="preserve"/>
      </w:r>
    </w:p>
    <w:p>
      <w:pPr>
        <w:spacing w:after="120"/>
      </w:pPr>
      <w:r>
        <w:t xml:space="preserve"/>
      </w:r>
    </w:p>
    <w:p>
      <w:pPr>
        <w:pBdr>
          <w:top w:val="single" w:color="0B2A5B" w:sz="4" w:space="8"/>
        </w:pBdr>
        <w:spacing w:after="60" w:before="240"/>
      </w:pPr>
      <w:r>
        <w:rPr>
          <w:rFonts w:ascii="Arial" w:cs="Arial" w:eastAsia="Arial" w:hAnsi="Arial"/>
          <w:i/>
          <w:iCs/>
          <w:color w:val="888888"/>
          <w:sz w:val="16"/>
          <w:szCs w:val="16"/>
        </w:rPr>
        <w:t xml:space="preserve">Documento generado por el sistema Bodega Farmacia HGGB — v191 — Junio 2026</w:t>
      </w:r>
    </w:p>
    <w:p>
      <w:r>
        <w:rPr>
          <w:rFonts w:ascii="Arial" w:cs="Arial" w:eastAsia="Arial" w:hAnsi="Arial"/>
          <w:color w:val="888888"/>
          <w:sz w:val="16"/>
          <w:szCs w:val="16"/>
        </w:rPr>
        <w:t xml:space="preserve">Q.F. Fernando Medina • Farmacia Central • Hospital Guillermo Grant Benavente</w:t>
      </w:r>
    </w:p>
    <w:sectPr>
      <w:headerReference w:type="default" r:id="rId7"/>
      <w:footerReference w:type="default" r:id="rId8"/>
      <w:pgSz w:w="12240" w:h="15840" w:orient="portrait"/>
      <w:pgMar w:top="1080" w:right="1080" w:bottom="108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0B2A5B" w:sz="4" w:space="6"/>
      </w:pBdr>
    </w:pPr>
    <w:r>
      <w:rPr>
        <w:rFonts w:ascii="Arial" w:cs="Arial" w:eastAsia="Arial" w:hAnsi="Arial"/>
        <w:color w:val="888888"/>
        <w:sz w:val="16"/>
        <w:szCs w:val="16"/>
      </w:rPr>
      <w:t xml:space="preserve">Farmacia Central • Hospital Guillermo Grant Benavente • Concepción, Chile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0B2A5B" w:sz="4" w:space="6"/>
      </w:pBdr>
    </w:pPr>
    <w:r>
      <w:rPr>
        <w:rFonts w:ascii="Arial" w:cs="Arial" w:eastAsia="Arial" w:hAnsi="Arial"/>
        <w:color w:val="1B4D91"/>
        <w:sz w:val="18"/>
        <w:szCs w:val="18"/>
      </w:rPr>
      <w:t xml:space="preserve">SISTEMA BODEGA FARMACIA HGGB  —  Manual de Usuario</w:t>
    </w:r>
    <w:r>
      <w:rPr>
        <w:rFonts w:ascii="Arial" w:cs="Arial" w:eastAsia="Arial" w:hAnsi="Arial"/>
        <w:color w:val="888888"/>
        <w:sz w:val="16"/>
        <w:szCs w:val="16"/>
      </w:rPr>
      <w:t xml:space="preserve">  v191 • Junio 2026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20"/>
      <w:outlineLvl w:val="0"/>
    </w:pPr>
    <w:rPr>
      <w:rFonts w:ascii="Arial" w:cs="Arial" w:eastAsia="Arial" w:hAnsi="Arial"/>
      <w:b/>
      <w:bCs/>
      <w:color w:val="0B2A5B"/>
      <w:sz w:val="32"/>
      <w:szCs w:val="32"/>
    </w:rPr>
  </w:style>
  <w:style w:type="paragraph" w:styleId="Heading2">
    <w:name w:val="Heading 2"/>
    <w:basedOn w:val="Normal"/>
    <w:next w:val="Normal"/>
    <w:qFormat/>
    <w:pPr>
      <w:spacing w:after="80" w:before="240"/>
      <w:outlineLvl w:val="1"/>
    </w:pPr>
    <w:rPr>
      <w:rFonts w:ascii="Arial" w:cs="Arial" w:eastAsia="Arial" w:hAnsi="Arial"/>
      <w:b/>
      <w:bCs/>
      <w:color w:val="1B4D91"/>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2026-06-28T21:49:50.829Z</dcterms:created>
  <dcterms:modified xsi:type="dcterms:W3CDTF">2026-06-28T21:49:50.829Z</dcterms:modified>
</cp:coreProperties>
</file>

<file path=docProps/custom.xml><?xml version="1.0" encoding="utf-8"?>
<Properties xmlns="http://schemas.openxmlformats.org/officeDocument/2006/custom-properties" xmlns:vt="http://schemas.openxmlformats.org/officeDocument/2006/docPropsVTypes"/>
</file>